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97" w:rsidRDefault="00126044">
      <w:r>
        <w:object w:dxaOrig="4677" w:dyaOrig="768">
          <v:rect id="rectole0000000000" o:spid="_x0000_i1025" style="width:270.75pt;height:54.75pt" o:ole="" o:preferrelative="t" stroked="f">
            <v:imagedata r:id="rId7" o:title=""/>
          </v:rect>
          <o:OLEObject Type="Embed" ProgID="StaticMetafile" ShapeID="rectole0000000000" DrawAspect="Content" ObjectID="_1551596013" r:id="rId8"/>
        </w:object>
      </w:r>
      <w:bookmarkStart w:id="0" w:name="_GoBack"/>
      <w:bookmarkEnd w:id="0"/>
    </w:p>
    <w:p w:rsidR="00126044" w:rsidRDefault="00126044">
      <w:pPr>
        <w:rPr>
          <w:rFonts w:eastAsia="Times New Roman"/>
          <w:color w:val="365F91" w:themeColor="accent1" w:themeShade="BF"/>
          <w:sz w:val="32"/>
          <w:szCs w:val="32"/>
          <w:lang w:eastAsia="en-GB"/>
        </w:rPr>
      </w:pPr>
    </w:p>
    <w:p w:rsidR="00126044" w:rsidRPr="00126044" w:rsidRDefault="00126044">
      <w:pPr>
        <w:rPr>
          <w:rFonts w:ascii="Arial" w:eastAsia="Times New Roman" w:hAnsi="Arial" w:cs="Arial"/>
          <w:b/>
          <w:sz w:val="28"/>
          <w:szCs w:val="28"/>
          <w:lang w:eastAsia="en-GB"/>
        </w:rPr>
      </w:pPr>
      <w:r w:rsidRPr="00126044">
        <w:rPr>
          <w:rFonts w:ascii="Arial" w:eastAsia="Times New Roman" w:hAnsi="Arial" w:cs="Arial"/>
          <w:b/>
          <w:sz w:val="28"/>
          <w:szCs w:val="28"/>
          <w:lang w:eastAsia="en-GB"/>
        </w:rPr>
        <w:t>UK Parliament Work and Pensions Committee Inquiry into Universal Credit</w:t>
      </w:r>
    </w:p>
    <w:p w:rsidR="00126044" w:rsidRPr="00126044" w:rsidRDefault="00126044">
      <w:pPr>
        <w:rPr>
          <w:rFonts w:ascii="Arial" w:eastAsia="Times New Roman" w:hAnsi="Arial" w:cs="Arial"/>
          <w:b/>
          <w:sz w:val="28"/>
          <w:szCs w:val="28"/>
          <w:lang w:eastAsia="en-GB"/>
        </w:rPr>
      </w:pPr>
    </w:p>
    <w:p w:rsidR="00126044" w:rsidRPr="00126044" w:rsidRDefault="00126044">
      <w:pPr>
        <w:rPr>
          <w:rFonts w:ascii="Arial" w:eastAsia="Times New Roman" w:hAnsi="Arial" w:cs="Arial"/>
          <w:b/>
          <w:sz w:val="28"/>
          <w:szCs w:val="28"/>
          <w:lang w:eastAsia="en-GB"/>
        </w:rPr>
      </w:pPr>
      <w:r w:rsidRPr="00126044">
        <w:rPr>
          <w:rFonts w:ascii="Arial" w:eastAsia="Times New Roman" w:hAnsi="Arial" w:cs="Arial"/>
          <w:b/>
          <w:sz w:val="28"/>
          <w:szCs w:val="28"/>
          <w:lang w:eastAsia="en-GB"/>
        </w:rPr>
        <w:t>Evidence from Glasgow and West of Scotland Forum of Housing Associations</w:t>
      </w:r>
    </w:p>
    <w:p w:rsidR="00126044" w:rsidRPr="00126044" w:rsidRDefault="00126044">
      <w:pPr>
        <w:rPr>
          <w:rFonts w:ascii="Arial" w:eastAsia="Times New Roman" w:hAnsi="Arial" w:cs="Arial"/>
          <w:b/>
          <w:sz w:val="28"/>
          <w:szCs w:val="28"/>
          <w:lang w:eastAsia="en-GB"/>
        </w:rPr>
      </w:pPr>
    </w:p>
    <w:p w:rsidR="00126044" w:rsidRPr="00126044" w:rsidRDefault="00126044">
      <w:pPr>
        <w:rPr>
          <w:rFonts w:ascii="Arial" w:eastAsia="Times New Roman" w:hAnsi="Arial" w:cs="Arial"/>
          <w:b/>
          <w:sz w:val="28"/>
          <w:szCs w:val="28"/>
          <w:lang w:eastAsia="en-GB"/>
        </w:rPr>
      </w:pPr>
      <w:r w:rsidRPr="00126044">
        <w:rPr>
          <w:rFonts w:ascii="Arial" w:eastAsia="Times New Roman" w:hAnsi="Arial" w:cs="Arial"/>
          <w:b/>
          <w:sz w:val="28"/>
          <w:szCs w:val="28"/>
          <w:lang w:eastAsia="en-GB"/>
        </w:rPr>
        <w:t>March 2017</w:t>
      </w:r>
    </w:p>
    <w:p w:rsidR="00126044" w:rsidRDefault="00126044">
      <w:pPr>
        <w:rPr>
          <w:rFonts w:eastAsia="Times New Roman"/>
          <w:color w:val="365F91" w:themeColor="accent1" w:themeShade="BF"/>
          <w:sz w:val="32"/>
          <w:szCs w:val="32"/>
          <w:lang w:eastAsia="en-GB"/>
        </w:rPr>
      </w:pPr>
    </w:p>
    <w:p w:rsidR="006C41F0" w:rsidRDefault="006C41F0">
      <w:pPr>
        <w:rPr>
          <w:rFonts w:eastAsia="Times New Roman"/>
          <w:color w:val="365F91" w:themeColor="accent1" w:themeShade="BF"/>
          <w:sz w:val="32"/>
          <w:szCs w:val="32"/>
          <w:lang w:eastAsia="en-GB"/>
        </w:rPr>
      </w:pPr>
      <w:r>
        <w:rPr>
          <w:rFonts w:eastAsia="Times New Roman"/>
          <w:color w:val="365F91" w:themeColor="accent1" w:themeShade="BF"/>
          <w:sz w:val="32"/>
          <w:szCs w:val="32"/>
          <w:lang w:eastAsia="en-GB"/>
        </w:rPr>
        <w:t>Introductory comment from GWSF</w:t>
      </w:r>
    </w:p>
    <w:p w:rsidR="006C41F0" w:rsidRDefault="006C41F0">
      <w:pPr>
        <w:rPr>
          <w:rFonts w:ascii="Arial" w:hAnsi="Arial" w:cs="Arial"/>
          <w:sz w:val="24"/>
          <w:szCs w:val="24"/>
        </w:rPr>
      </w:pPr>
      <w:r>
        <w:rPr>
          <w:rFonts w:ascii="Arial" w:hAnsi="Arial" w:cs="Arial"/>
          <w:sz w:val="24"/>
          <w:szCs w:val="24"/>
        </w:rPr>
        <w:t xml:space="preserve">The feedback below, which comes from ten member associations who have a significant enough number of </w:t>
      </w:r>
      <w:proofErr w:type="gramStart"/>
      <w:r>
        <w:rPr>
          <w:rFonts w:ascii="Arial" w:hAnsi="Arial" w:cs="Arial"/>
          <w:sz w:val="24"/>
          <w:szCs w:val="24"/>
        </w:rPr>
        <w:t>tenants</w:t>
      </w:r>
      <w:proofErr w:type="gramEnd"/>
      <w:r>
        <w:rPr>
          <w:rFonts w:ascii="Arial" w:hAnsi="Arial" w:cs="Arial"/>
          <w:sz w:val="24"/>
          <w:szCs w:val="24"/>
        </w:rPr>
        <w:t xml:space="preserve"> now on Universal Credit, paints a sorry picture of the early stages of Universal Credit. If the problems could largely be attributed to early administrative issues which might be improved as time passes, our sector could have </w:t>
      </w:r>
      <w:r w:rsidR="00126044">
        <w:rPr>
          <w:rFonts w:ascii="Arial" w:hAnsi="Arial" w:cs="Arial"/>
          <w:sz w:val="24"/>
          <w:szCs w:val="24"/>
        </w:rPr>
        <w:t>cause for a degree of</w:t>
      </w:r>
      <w:r>
        <w:rPr>
          <w:rFonts w:ascii="Arial" w:hAnsi="Arial" w:cs="Arial"/>
          <w:sz w:val="24"/>
          <w:szCs w:val="24"/>
        </w:rPr>
        <w:t xml:space="preserve"> optimism</w:t>
      </w:r>
      <w:r w:rsidR="0030525C">
        <w:rPr>
          <w:rFonts w:ascii="Arial" w:hAnsi="Arial" w:cs="Arial"/>
          <w:sz w:val="24"/>
          <w:szCs w:val="24"/>
        </w:rPr>
        <w:t>.</w:t>
      </w:r>
    </w:p>
    <w:p w:rsidR="006C41F0" w:rsidRDefault="006C41F0">
      <w:pPr>
        <w:rPr>
          <w:rFonts w:ascii="Arial" w:hAnsi="Arial" w:cs="Arial"/>
          <w:sz w:val="24"/>
          <w:szCs w:val="24"/>
        </w:rPr>
      </w:pPr>
    </w:p>
    <w:p w:rsidR="006C41F0" w:rsidRDefault="006C41F0">
      <w:pPr>
        <w:rPr>
          <w:rFonts w:ascii="Arial" w:hAnsi="Arial" w:cs="Arial"/>
          <w:sz w:val="24"/>
          <w:szCs w:val="24"/>
        </w:rPr>
      </w:pPr>
      <w:r>
        <w:rPr>
          <w:rFonts w:ascii="Arial" w:hAnsi="Arial" w:cs="Arial"/>
          <w:sz w:val="24"/>
          <w:szCs w:val="24"/>
        </w:rPr>
        <w:t>But many of the most serious shortcomings are actually built into the system – most obviously the length of time before first payments, and the almost complete exclusion of social landlords from the communication process with DWP.</w:t>
      </w:r>
    </w:p>
    <w:p w:rsidR="006C41F0" w:rsidRDefault="006C41F0">
      <w:pPr>
        <w:rPr>
          <w:rFonts w:ascii="Arial" w:hAnsi="Arial" w:cs="Arial"/>
          <w:sz w:val="24"/>
          <w:szCs w:val="24"/>
        </w:rPr>
      </w:pPr>
    </w:p>
    <w:p w:rsidR="006C41F0" w:rsidRPr="006C41F0" w:rsidRDefault="006C41F0">
      <w:pPr>
        <w:rPr>
          <w:rFonts w:ascii="Arial" w:hAnsi="Arial" w:cs="Arial"/>
          <w:sz w:val="24"/>
          <w:szCs w:val="24"/>
        </w:rPr>
      </w:pPr>
      <w:r>
        <w:rPr>
          <w:rFonts w:ascii="Arial" w:hAnsi="Arial" w:cs="Arial"/>
          <w:sz w:val="24"/>
          <w:szCs w:val="24"/>
        </w:rPr>
        <w:t>The consequences of this administrative nightmare make any potential advantages of Universal Credit pale into insignificance</w:t>
      </w:r>
      <w:r w:rsidR="0030525C">
        <w:rPr>
          <w:rFonts w:ascii="Arial" w:hAnsi="Arial" w:cs="Arial"/>
          <w:sz w:val="24"/>
          <w:szCs w:val="24"/>
        </w:rPr>
        <w:t>. UC may have been intended to make people better off once they take up employment, but for many tenants, the impact of going onto UC in the first place and the early damage it does</w:t>
      </w:r>
      <w:r w:rsidR="00126044">
        <w:rPr>
          <w:rFonts w:ascii="Arial" w:hAnsi="Arial" w:cs="Arial"/>
          <w:sz w:val="24"/>
          <w:szCs w:val="24"/>
        </w:rPr>
        <w:t>,</w:t>
      </w:r>
      <w:r w:rsidR="0030525C">
        <w:rPr>
          <w:rFonts w:ascii="Arial" w:hAnsi="Arial" w:cs="Arial"/>
          <w:sz w:val="24"/>
          <w:szCs w:val="24"/>
        </w:rPr>
        <w:t xml:space="preserve"> outweigh any eventual advantages relating to taking up employment.</w:t>
      </w:r>
    </w:p>
    <w:p w:rsidR="006C41F0" w:rsidRDefault="006C41F0"/>
    <w:p w:rsidR="00385A29" w:rsidRDefault="00385A29"/>
    <w:p w:rsidR="00385A29" w:rsidRDefault="00385A29" w:rsidP="00385A29">
      <w:pPr>
        <w:pStyle w:val="Heading1"/>
        <w:numPr>
          <w:ilvl w:val="0"/>
          <w:numId w:val="1"/>
        </w:numPr>
        <w:spacing w:before="0" w:line="264" w:lineRule="auto"/>
        <w:ind w:left="0"/>
        <w:contextualSpacing/>
        <w:rPr>
          <w:rFonts w:asciiTheme="minorHAnsi" w:eastAsia="Times New Roman" w:hAnsiTheme="minorHAnsi"/>
          <w:lang w:eastAsia="en-GB"/>
        </w:rPr>
      </w:pPr>
      <w:r>
        <w:rPr>
          <w:rFonts w:asciiTheme="minorHAnsi" w:eastAsia="Times New Roman" w:hAnsiTheme="minorHAnsi"/>
          <w:lang w:eastAsia="en-GB"/>
        </w:rPr>
        <w:t>How long are people waiting for their Universal Credit claim to be processed, and what impact is this having on them?</w:t>
      </w:r>
    </w:p>
    <w:p w:rsidR="00385A29" w:rsidRDefault="00385A29" w:rsidP="00385A29">
      <w:pPr>
        <w:spacing w:line="264" w:lineRule="auto"/>
        <w:contextualSpacing/>
        <w:rPr>
          <w:lang w:eastAsia="en-GB"/>
        </w:rPr>
      </w:pPr>
    </w:p>
    <w:p w:rsidR="00385A29" w:rsidRPr="00657538" w:rsidRDefault="00385A29" w:rsidP="00657538">
      <w:pPr>
        <w:pStyle w:val="Heading2"/>
        <w:spacing w:before="0" w:line="264" w:lineRule="auto"/>
        <w:contextualSpacing/>
        <w:rPr>
          <w:rFonts w:ascii="Arial" w:eastAsiaTheme="minorHAnsi" w:hAnsi="Arial" w:cs="Arial"/>
          <w:color w:val="000000"/>
          <w:sz w:val="24"/>
          <w:szCs w:val="24"/>
        </w:rPr>
      </w:pPr>
      <w:r w:rsidRPr="00657538">
        <w:rPr>
          <w:rFonts w:ascii="Arial" w:eastAsiaTheme="minorHAnsi" w:hAnsi="Arial" w:cs="Arial"/>
          <w:color w:val="000000"/>
          <w:sz w:val="24"/>
          <w:szCs w:val="24"/>
        </w:rPr>
        <w:t>The assessment period varies for claimants.  There does</w:t>
      </w:r>
      <w:r w:rsidR="00126044">
        <w:rPr>
          <w:rFonts w:ascii="Arial" w:eastAsiaTheme="minorHAnsi" w:hAnsi="Arial" w:cs="Arial"/>
          <w:color w:val="000000"/>
          <w:sz w:val="24"/>
          <w:szCs w:val="24"/>
        </w:rPr>
        <w:t xml:space="preserve"> </w:t>
      </w:r>
      <w:r w:rsidRPr="00657538">
        <w:rPr>
          <w:rFonts w:ascii="Arial" w:eastAsiaTheme="minorHAnsi" w:hAnsi="Arial" w:cs="Arial"/>
          <w:color w:val="000000"/>
          <w:sz w:val="24"/>
          <w:szCs w:val="24"/>
        </w:rPr>
        <w:t>n</w:t>
      </w:r>
      <w:r w:rsidR="00126044">
        <w:rPr>
          <w:rFonts w:ascii="Arial" w:eastAsiaTheme="minorHAnsi" w:hAnsi="Arial" w:cs="Arial"/>
          <w:color w:val="000000"/>
          <w:sz w:val="24"/>
          <w:szCs w:val="24"/>
        </w:rPr>
        <w:t>o</w:t>
      </w:r>
      <w:r w:rsidRPr="00657538">
        <w:rPr>
          <w:rFonts w:ascii="Arial" w:eastAsiaTheme="minorHAnsi" w:hAnsi="Arial" w:cs="Arial"/>
          <w:color w:val="000000"/>
          <w:sz w:val="24"/>
          <w:szCs w:val="24"/>
        </w:rPr>
        <w:t xml:space="preserve">t appear to be much consistency in the length of time a claimant has to wait for their claim to be assessed.  The earliest appears to be </w:t>
      </w:r>
      <w:r w:rsidR="00126044">
        <w:rPr>
          <w:rFonts w:ascii="Arial" w:eastAsiaTheme="minorHAnsi" w:hAnsi="Arial" w:cs="Arial"/>
          <w:color w:val="000000"/>
          <w:sz w:val="24"/>
          <w:szCs w:val="24"/>
        </w:rPr>
        <w:t>six</w:t>
      </w:r>
      <w:r w:rsidRPr="00657538">
        <w:rPr>
          <w:rFonts w:ascii="Arial" w:eastAsiaTheme="minorHAnsi" w:hAnsi="Arial" w:cs="Arial"/>
          <w:color w:val="000000"/>
          <w:sz w:val="24"/>
          <w:szCs w:val="24"/>
        </w:rPr>
        <w:t xml:space="preserve"> weeks, with </w:t>
      </w:r>
      <w:r w:rsidR="00126044">
        <w:rPr>
          <w:rFonts w:ascii="Arial" w:eastAsiaTheme="minorHAnsi" w:hAnsi="Arial" w:cs="Arial"/>
          <w:color w:val="000000"/>
          <w:sz w:val="24"/>
          <w:szCs w:val="24"/>
        </w:rPr>
        <w:t>seven</w:t>
      </w:r>
      <w:r w:rsidRPr="00657538">
        <w:rPr>
          <w:rFonts w:ascii="Arial" w:eastAsiaTheme="minorHAnsi" w:hAnsi="Arial" w:cs="Arial"/>
          <w:color w:val="000000"/>
          <w:sz w:val="24"/>
          <w:szCs w:val="24"/>
        </w:rPr>
        <w:t xml:space="preserve"> weeks the more general minimum waiting time.  Many members report much longer periods than this, due normally to processing error</w:t>
      </w:r>
      <w:r w:rsidR="00AB69DA" w:rsidRPr="00657538">
        <w:rPr>
          <w:rFonts w:ascii="Arial" w:eastAsiaTheme="minorHAnsi" w:hAnsi="Arial" w:cs="Arial"/>
          <w:color w:val="000000"/>
          <w:sz w:val="24"/>
          <w:szCs w:val="24"/>
        </w:rPr>
        <w:t>s within DWP, or failure of DWP to issue housing costs verification forms (or failure to act of this information after it has been supplied).</w:t>
      </w:r>
    </w:p>
    <w:p w:rsidR="00385A29" w:rsidRPr="00657538" w:rsidRDefault="00385A29" w:rsidP="00657538">
      <w:pPr>
        <w:rPr>
          <w:rFonts w:ascii="Arial" w:hAnsi="Arial" w:cs="Arial"/>
          <w:sz w:val="24"/>
          <w:szCs w:val="24"/>
        </w:rPr>
      </w:pPr>
    </w:p>
    <w:p w:rsidR="00385A29" w:rsidRPr="00657538" w:rsidRDefault="00385A29" w:rsidP="00657538">
      <w:pPr>
        <w:rPr>
          <w:rFonts w:ascii="Arial" w:hAnsi="Arial" w:cs="Arial"/>
          <w:sz w:val="24"/>
          <w:szCs w:val="24"/>
        </w:rPr>
      </w:pPr>
      <w:r w:rsidRPr="00657538">
        <w:rPr>
          <w:rFonts w:ascii="Arial" w:hAnsi="Arial" w:cs="Arial"/>
          <w:sz w:val="24"/>
          <w:szCs w:val="24"/>
        </w:rPr>
        <w:t>Members report a lack of consistency</w:t>
      </w:r>
      <w:r w:rsidR="00AB69DA" w:rsidRPr="00657538">
        <w:rPr>
          <w:rFonts w:ascii="Arial" w:hAnsi="Arial" w:cs="Arial"/>
          <w:sz w:val="24"/>
          <w:szCs w:val="24"/>
        </w:rPr>
        <w:t xml:space="preserve"> between DWP offices, leading to errors with claims, and further delays.</w:t>
      </w:r>
    </w:p>
    <w:p w:rsidR="00AB69DA" w:rsidRPr="00657538" w:rsidRDefault="00AB69DA" w:rsidP="00657538">
      <w:pPr>
        <w:rPr>
          <w:rFonts w:ascii="Arial" w:hAnsi="Arial" w:cs="Arial"/>
          <w:sz w:val="24"/>
          <w:szCs w:val="24"/>
        </w:rPr>
      </w:pPr>
    </w:p>
    <w:p w:rsidR="00AB69DA" w:rsidRPr="00657538" w:rsidRDefault="00AB69DA" w:rsidP="00657538">
      <w:pPr>
        <w:rPr>
          <w:rFonts w:ascii="Arial" w:hAnsi="Arial" w:cs="Arial"/>
          <w:sz w:val="24"/>
          <w:szCs w:val="24"/>
        </w:rPr>
      </w:pPr>
      <w:r w:rsidRPr="00657538">
        <w:rPr>
          <w:rFonts w:ascii="Arial" w:hAnsi="Arial" w:cs="Arial"/>
          <w:sz w:val="24"/>
          <w:szCs w:val="24"/>
        </w:rPr>
        <w:lastRenderedPageBreak/>
        <w:t>There is a double delay for people migrating from Live to Full Service as there is a second assessment with the accompanying need to supply information etc.</w:t>
      </w:r>
    </w:p>
    <w:p w:rsidR="00AB69DA" w:rsidRPr="00657538" w:rsidRDefault="00AB69DA" w:rsidP="00657538">
      <w:pPr>
        <w:rPr>
          <w:rFonts w:ascii="Arial" w:hAnsi="Arial" w:cs="Arial"/>
          <w:sz w:val="24"/>
          <w:szCs w:val="24"/>
        </w:rPr>
      </w:pPr>
    </w:p>
    <w:p w:rsidR="00AB69DA" w:rsidRPr="00657538" w:rsidRDefault="00AB69DA" w:rsidP="00657538">
      <w:pPr>
        <w:rPr>
          <w:rFonts w:ascii="Arial" w:hAnsi="Arial" w:cs="Arial"/>
          <w:sz w:val="24"/>
          <w:szCs w:val="24"/>
        </w:rPr>
      </w:pPr>
      <w:r w:rsidRPr="00657538">
        <w:rPr>
          <w:rFonts w:ascii="Arial" w:hAnsi="Arial" w:cs="Arial"/>
          <w:sz w:val="24"/>
          <w:szCs w:val="24"/>
        </w:rPr>
        <w:t>Making APA applications has resulted in further delays in payment being made</w:t>
      </w:r>
      <w:r w:rsidR="00126044">
        <w:rPr>
          <w:rFonts w:ascii="Arial" w:hAnsi="Arial" w:cs="Arial"/>
          <w:sz w:val="24"/>
          <w:szCs w:val="24"/>
        </w:rPr>
        <w:t xml:space="preserve"> (see response to question 5 below)</w:t>
      </w:r>
      <w:proofErr w:type="gramStart"/>
      <w:r w:rsidR="00126044">
        <w:rPr>
          <w:rFonts w:ascii="Arial" w:hAnsi="Arial" w:cs="Arial"/>
          <w:sz w:val="24"/>
          <w:szCs w:val="24"/>
        </w:rPr>
        <w:t>.</w:t>
      </w:r>
      <w:r w:rsidRPr="00657538">
        <w:rPr>
          <w:rFonts w:ascii="Arial" w:hAnsi="Arial" w:cs="Arial"/>
          <w:sz w:val="24"/>
          <w:szCs w:val="24"/>
        </w:rPr>
        <w:t>.</w:t>
      </w:r>
      <w:proofErr w:type="gramEnd"/>
    </w:p>
    <w:p w:rsidR="00AB69DA" w:rsidRPr="00657538" w:rsidRDefault="00AB69DA" w:rsidP="00657538">
      <w:pPr>
        <w:rPr>
          <w:rFonts w:ascii="Arial" w:hAnsi="Arial" w:cs="Arial"/>
          <w:sz w:val="24"/>
          <w:szCs w:val="24"/>
        </w:rPr>
      </w:pPr>
    </w:p>
    <w:p w:rsidR="00AB69DA" w:rsidRPr="00657538" w:rsidRDefault="00AB69DA" w:rsidP="00657538">
      <w:pPr>
        <w:rPr>
          <w:rFonts w:ascii="Arial" w:hAnsi="Arial" w:cs="Arial"/>
          <w:sz w:val="24"/>
          <w:szCs w:val="24"/>
        </w:rPr>
      </w:pPr>
      <w:r w:rsidRPr="00657538">
        <w:rPr>
          <w:rFonts w:ascii="Arial" w:eastAsia="Times New Roman" w:hAnsi="Arial" w:cs="Arial"/>
          <w:color w:val="000000"/>
          <w:sz w:val="24"/>
          <w:szCs w:val="24"/>
          <w:lang w:val="en" w:eastAsia="en-GB"/>
        </w:rPr>
        <w:t xml:space="preserve">One member noted that </w:t>
      </w:r>
      <w:r w:rsidRPr="00013F08">
        <w:rPr>
          <w:rFonts w:ascii="Arial" w:eastAsia="Times New Roman" w:hAnsi="Arial" w:cs="Arial"/>
          <w:color w:val="000000"/>
          <w:sz w:val="24"/>
          <w:szCs w:val="24"/>
          <w:lang w:val="en" w:eastAsia="en-GB"/>
        </w:rPr>
        <w:t>the lack of internet access at weekends has resulted in some cases being suspended</w:t>
      </w:r>
      <w:r w:rsidRPr="00657538">
        <w:rPr>
          <w:rFonts w:ascii="Arial" w:eastAsia="Times New Roman" w:hAnsi="Arial" w:cs="Arial"/>
          <w:color w:val="000000"/>
          <w:sz w:val="24"/>
          <w:szCs w:val="24"/>
          <w:lang w:val="en" w:eastAsia="en-GB"/>
        </w:rPr>
        <w:t>, with no apparent</w:t>
      </w:r>
      <w:r w:rsidRPr="00013F08">
        <w:rPr>
          <w:rFonts w:ascii="Arial" w:eastAsia="Times New Roman" w:hAnsi="Arial" w:cs="Arial"/>
          <w:color w:val="000000"/>
          <w:sz w:val="24"/>
          <w:szCs w:val="24"/>
          <w:lang w:val="en" w:eastAsia="en-GB"/>
        </w:rPr>
        <w:t xml:space="preserve"> test of reasonableness in these cases. </w:t>
      </w:r>
    </w:p>
    <w:p w:rsidR="00385A29" w:rsidRPr="00657538" w:rsidRDefault="00385A29" w:rsidP="00657538">
      <w:pPr>
        <w:pStyle w:val="Heading2"/>
        <w:spacing w:before="0" w:line="264" w:lineRule="auto"/>
        <w:contextualSpacing/>
        <w:rPr>
          <w:rFonts w:ascii="Arial" w:eastAsiaTheme="minorHAnsi" w:hAnsi="Arial" w:cs="Arial"/>
          <w:color w:val="000000"/>
          <w:sz w:val="24"/>
          <w:szCs w:val="24"/>
        </w:rPr>
      </w:pPr>
    </w:p>
    <w:p w:rsidR="00385A29" w:rsidRPr="0030525C" w:rsidRDefault="00385A29" w:rsidP="00657538">
      <w:pPr>
        <w:pStyle w:val="Heading2"/>
        <w:spacing w:before="0" w:line="264" w:lineRule="auto"/>
        <w:contextualSpacing/>
        <w:rPr>
          <w:rFonts w:ascii="Arial" w:eastAsiaTheme="minorHAnsi" w:hAnsi="Arial" w:cs="Arial"/>
          <w:i/>
          <w:color w:val="000000"/>
          <w:sz w:val="24"/>
          <w:szCs w:val="24"/>
        </w:rPr>
      </w:pPr>
      <w:r w:rsidRPr="0030525C">
        <w:rPr>
          <w:rFonts w:ascii="Arial" w:eastAsiaTheme="minorHAnsi" w:hAnsi="Arial" w:cs="Arial"/>
          <w:i/>
          <w:color w:val="000000"/>
          <w:sz w:val="24"/>
          <w:szCs w:val="24"/>
        </w:rPr>
        <w:t>“One claim went on for 4 months before any money was received.  Another claimant transitioned from Income Support and waited 12 weeks covering the Christmas and New Year period, (a lone parent with a diagnosed learning difficulty looking after her two-year-old son) before receiving any money.”</w:t>
      </w:r>
    </w:p>
    <w:p w:rsidR="00AB69DA" w:rsidRPr="0030525C" w:rsidRDefault="00AB69DA" w:rsidP="00657538">
      <w:pPr>
        <w:rPr>
          <w:rFonts w:ascii="Arial" w:hAnsi="Arial" w:cs="Arial"/>
          <w:i/>
          <w:sz w:val="24"/>
          <w:szCs w:val="24"/>
        </w:rPr>
      </w:pPr>
    </w:p>
    <w:p w:rsidR="00AB69DA" w:rsidRPr="0030525C" w:rsidRDefault="00657538" w:rsidP="00657538">
      <w:pPr>
        <w:rPr>
          <w:rFonts w:ascii="Arial" w:eastAsia="Times New Roman" w:hAnsi="Arial" w:cs="Arial"/>
          <w:i/>
          <w:color w:val="000000"/>
          <w:sz w:val="24"/>
          <w:szCs w:val="24"/>
          <w:lang w:val="en" w:eastAsia="en-GB"/>
        </w:rPr>
      </w:pPr>
      <w:r w:rsidRPr="0030525C">
        <w:rPr>
          <w:rFonts w:ascii="Arial" w:eastAsia="Times New Roman" w:hAnsi="Arial" w:cs="Arial"/>
          <w:i/>
          <w:color w:val="000000"/>
          <w:sz w:val="24"/>
          <w:szCs w:val="24"/>
          <w:lang w:val="en" w:eastAsia="en-GB"/>
        </w:rPr>
        <w:t>“This is very difficult, tenants are generally making use of family connections, use of foodbank and requesting advance payments as they have no access to funds during the assessment or payment periods. “</w:t>
      </w:r>
    </w:p>
    <w:p w:rsidR="00657538" w:rsidRPr="0030525C" w:rsidRDefault="00657538" w:rsidP="00657538">
      <w:pPr>
        <w:rPr>
          <w:rFonts w:ascii="Arial" w:eastAsia="Times New Roman" w:hAnsi="Arial" w:cs="Arial"/>
          <w:i/>
          <w:color w:val="000000"/>
          <w:sz w:val="24"/>
          <w:szCs w:val="24"/>
          <w:lang w:val="en" w:eastAsia="en-GB"/>
        </w:rPr>
      </w:pPr>
    </w:p>
    <w:p w:rsidR="00657538" w:rsidRPr="0030525C" w:rsidRDefault="00657538" w:rsidP="00657538">
      <w:pPr>
        <w:rPr>
          <w:rFonts w:ascii="Arial" w:hAnsi="Arial" w:cs="Arial"/>
          <w:i/>
          <w:sz w:val="24"/>
          <w:szCs w:val="24"/>
        </w:rPr>
      </w:pPr>
      <w:r w:rsidRPr="0030525C">
        <w:rPr>
          <w:rFonts w:ascii="Arial" w:hAnsi="Arial" w:cs="Arial"/>
          <w:i/>
          <w:color w:val="000000"/>
          <w:sz w:val="24"/>
          <w:szCs w:val="24"/>
        </w:rPr>
        <w:t>“For the vulnerable claimants, it is extremely distressing if they are trying to get by with no money, or doing what they think is best to pay what little money they should to try and cover essentials as they are aware of their accumulating debts.”</w:t>
      </w:r>
    </w:p>
    <w:p w:rsidR="00AB69DA" w:rsidRPr="0030525C" w:rsidRDefault="00C002F8" w:rsidP="00657538">
      <w:pPr>
        <w:spacing w:before="100" w:beforeAutospacing="1" w:after="100" w:afterAutospacing="1" w:line="240" w:lineRule="auto"/>
        <w:rPr>
          <w:rFonts w:ascii="Arial" w:eastAsia="Times New Roman" w:hAnsi="Arial" w:cs="Arial"/>
          <w:i/>
          <w:color w:val="000000"/>
          <w:sz w:val="24"/>
          <w:szCs w:val="24"/>
          <w:lang w:val="en" w:eastAsia="en-GB"/>
        </w:rPr>
      </w:pPr>
      <w:r w:rsidRPr="0030525C">
        <w:rPr>
          <w:rFonts w:ascii="Arial" w:eastAsia="Times New Roman" w:hAnsi="Arial" w:cs="Arial"/>
          <w:i/>
          <w:color w:val="000000"/>
          <w:sz w:val="24"/>
          <w:szCs w:val="24"/>
          <w:lang w:val="en" w:eastAsia="en-GB"/>
        </w:rPr>
        <w:t>“</w:t>
      </w:r>
      <w:r w:rsidR="00AB69DA" w:rsidRPr="0030525C">
        <w:rPr>
          <w:rFonts w:ascii="Arial" w:eastAsia="Times New Roman" w:hAnsi="Arial" w:cs="Arial"/>
          <w:i/>
          <w:color w:val="000000"/>
          <w:sz w:val="24"/>
          <w:szCs w:val="24"/>
          <w:lang w:val="en" w:eastAsia="en-GB"/>
        </w:rPr>
        <w:t>Lack of payment for 7 weeks can result in legal action for arrears as a result of non-payment particularly in cases where there are pre-existing arrears.</w:t>
      </w:r>
      <w:r w:rsidRPr="0030525C">
        <w:rPr>
          <w:rFonts w:ascii="Arial" w:eastAsia="Times New Roman" w:hAnsi="Arial" w:cs="Arial"/>
          <w:i/>
          <w:color w:val="000000"/>
          <w:sz w:val="24"/>
          <w:szCs w:val="24"/>
          <w:lang w:val="en" w:eastAsia="en-GB"/>
        </w:rPr>
        <w:t>”</w:t>
      </w:r>
    </w:p>
    <w:p w:rsidR="00657538" w:rsidRPr="0030525C" w:rsidRDefault="00657538" w:rsidP="00657538">
      <w:pPr>
        <w:spacing w:before="100" w:beforeAutospacing="1" w:after="100" w:afterAutospacing="1" w:line="240" w:lineRule="auto"/>
        <w:rPr>
          <w:rFonts w:ascii="Arial" w:eastAsia="Times New Roman" w:hAnsi="Arial" w:cs="Arial"/>
          <w:i/>
          <w:color w:val="000000"/>
          <w:sz w:val="24"/>
          <w:szCs w:val="24"/>
          <w:lang w:val="en" w:eastAsia="en-GB"/>
        </w:rPr>
      </w:pPr>
      <w:r w:rsidRPr="0030525C">
        <w:rPr>
          <w:rFonts w:ascii="Arial" w:eastAsia="Times New Roman" w:hAnsi="Arial" w:cs="Arial"/>
          <w:i/>
          <w:color w:val="000000"/>
          <w:sz w:val="24"/>
          <w:szCs w:val="24"/>
          <w:lang w:val="en" w:eastAsia="en-GB"/>
        </w:rPr>
        <w:t>“Where advance payments are being made the repayment period for this so short that this is having a significant impact on ongoing income streams.</w:t>
      </w:r>
      <w:r w:rsidR="00A94E12" w:rsidRPr="0030525C">
        <w:rPr>
          <w:rFonts w:ascii="Arial" w:eastAsia="Times New Roman" w:hAnsi="Arial" w:cs="Arial"/>
          <w:i/>
          <w:color w:val="000000"/>
          <w:sz w:val="24"/>
          <w:szCs w:val="24"/>
          <w:lang w:val="en" w:eastAsia="en-GB"/>
        </w:rPr>
        <w:t>”</w:t>
      </w:r>
    </w:p>
    <w:p w:rsidR="00385A29" w:rsidRPr="0030525C" w:rsidRDefault="00A94E12" w:rsidP="0030525C">
      <w:pPr>
        <w:spacing w:before="100" w:beforeAutospacing="1" w:after="100" w:afterAutospacing="1" w:line="240" w:lineRule="auto"/>
        <w:rPr>
          <w:i/>
        </w:rPr>
      </w:pPr>
      <w:r w:rsidRPr="0030525C">
        <w:rPr>
          <w:rFonts w:ascii="Arial" w:eastAsia="Times New Roman" w:hAnsi="Arial" w:cs="Arial"/>
          <w:i/>
          <w:sz w:val="24"/>
          <w:szCs w:val="24"/>
          <w:lang w:eastAsia="en-GB"/>
        </w:rPr>
        <w:t>“When payment is received, claimants may have had crisis loans which are deducted or may have borrowed money which then has to be paid back. Universal credit was apparently intended to empower claimants to take charge of their own finances but instead seems to put people into debt</w:t>
      </w:r>
      <w:r w:rsidR="009A0F92" w:rsidRPr="0030525C">
        <w:rPr>
          <w:rFonts w:ascii="Arial" w:eastAsia="Times New Roman" w:hAnsi="Arial" w:cs="Arial"/>
          <w:i/>
          <w:sz w:val="24"/>
          <w:szCs w:val="24"/>
          <w:lang w:eastAsia="en-GB"/>
        </w:rPr>
        <w:t>.</w:t>
      </w:r>
      <w:r w:rsidR="0030525C">
        <w:rPr>
          <w:rFonts w:ascii="Arial" w:eastAsia="Times New Roman" w:hAnsi="Arial" w:cs="Arial"/>
          <w:i/>
          <w:sz w:val="24"/>
          <w:szCs w:val="24"/>
          <w:lang w:eastAsia="en-GB"/>
        </w:rPr>
        <w:t>”</w:t>
      </w:r>
    </w:p>
    <w:p w:rsidR="00385A29" w:rsidRDefault="00385A29" w:rsidP="00385A29">
      <w:pPr>
        <w:pStyle w:val="ListParagraph"/>
        <w:numPr>
          <w:ilvl w:val="0"/>
          <w:numId w:val="1"/>
        </w:numPr>
        <w:spacing w:line="264" w:lineRule="auto"/>
        <w:ind w:left="0"/>
        <w:rPr>
          <w:rFonts w:eastAsia="Times New Roman" w:cstheme="majorBidi"/>
          <w:color w:val="365F91" w:themeColor="accent1" w:themeShade="BF"/>
          <w:sz w:val="32"/>
          <w:szCs w:val="32"/>
          <w:lang w:eastAsia="en-GB"/>
        </w:rPr>
      </w:pPr>
      <w:r>
        <w:rPr>
          <w:rFonts w:eastAsia="Times New Roman" w:cstheme="majorBidi"/>
          <w:color w:val="365F91" w:themeColor="accent1" w:themeShade="BF"/>
          <w:sz w:val="32"/>
          <w:szCs w:val="32"/>
          <w:lang w:eastAsia="en-GB"/>
        </w:rPr>
        <w:t xml:space="preserve">How are claimants managing with being paid Universal Credit monthly in arrears? </w:t>
      </w:r>
    </w:p>
    <w:p w:rsidR="00385A29" w:rsidRDefault="00385A29" w:rsidP="00385A29">
      <w:pPr>
        <w:pStyle w:val="ListParagraph"/>
        <w:spacing w:line="264" w:lineRule="auto"/>
        <w:ind w:left="0"/>
        <w:jc w:val="both"/>
        <w:rPr>
          <w:rFonts w:cs="Arial"/>
          <w:color w:val="000000"/>
          <w:sz w:val="23"/>
          <w:szCs w:val="23"/>
        </w:rPr>
      </w:pPr>
    </w:p>
    <w:p w:rsidR="00657538" w:rsidRPr="00657538" w:rsidRDefault="0030525C" w:rsidP="00385A29">
      <w:pPr>
        <w:pStyle w:val="ListParagraph"/>
        <w:spacing w:line="264" w:lineRule="auto"/>
        <w:ind w:left="0"/>
        <w:jc w:val="both"/>
        <w:rPr>
          <w:rFonts w:ascii="Arial" w:hAnsi="Arial" w:cs="Arial"/>
          <w:color w:val="000000"/>
          <w:sz w:val="24"/>
          <w:szCs w:val="24"/>
        </w:rPr>
      </w:pPr>
      <w:r>
        <w:rPr>
          <w:rFonts w:ascii="Arial" w:hAnsi="Arial" w:cs="Arial"/>
          <w:color w:val="000000"/>
          <w:sz w:val="24"/>
          <w:szCs w:val="24"/>
        </w:rPr>
        <w:t>Covered in the previous section</w:t>
      </w:r>
      <w:r w:rsidR="00657538" w:rsidRPr="00657538">
        <w:rPr>
          <w:rFonts w:ascii="Arial" w:hAnsi="Arial" w:cs="Arial"/>
          <w:color w:val="000000"/>
          <w:sz w:val="24"/>
          <w:szCs w:val="24"/>
        </w:rPr>
        <w:t>.</w:t>
      </w:r>
    </w:p>
    <w:p w:rsidR="00657538" w:rsidRDefault="00657538" w:rsidP="00385A29">
      <w:pPr>
        <w:pStyle w:val="ListParagraph"/>
        <w:spacing w:line="264" w:lineRule="auto"/>
        <w:ind w:left="0"/>
        <w:jc w:val="both"/>
        <w:rPr>
          <w:rFonts w:cs="Arial"/>
          <w:color w:val="000000"/>
          <w:sz w:val="23"/>
          <w:szCs w:val="23"/>
        </w:rPr>
      </w:pPr>
    </w:p>
    <w:p w:rsidR="00385A29" w:rsidRDefault="00385A29" w:rsidP="00385A29">
      <w:pPr>
        <w:pStyle w:val="Heading1"/>
        <w:numPr>
          <w:ilvl w:val="0"/>
          <w:numId w:val="1"/>
        </w:numPr>
        <w:spacing w:before="0" w:line="264" w:lineRule="auto"/>
        <w:ind w:left="0"/>
        <w:contextualSpacing/>
        <w:rPr>
          <w:rFonts w:asciiTheme="minorHAnsi" w:eastAsia="Times New Roman" w:hAnsiTheme="minorHAnsi"/>
          <w:lang w:eastAsia="en-GB"/>
        </w:rPr>
      </w:pPr>
      <w:r>
        <w:rPr>
          <w:rFonts w:asciiTheme="minorHAnsi" w:eastAsia="Times New Roman" w:hAnsiTheme="minorHAnsi"/>
          <w:lang w:eastAsia="en-GB"/>
        </w:rPr>
        <w:t>Has Universal Credit improved the accuracy of payments?</w:t>
      </w:r>
    </w:p>
    <w:p w:rsidR="00385A29" w:rsidRPr="00046B0A" w:rsidRDefault="00046B0A" w:rsidP="00046B0A">
      <w:pPr>
        <w:pStyle w:val="Heading2"/>
        <w:spacing w:before="0" w:line="264" w:lineRule="auto"/>
        <w:contextualSpacing/>
        <w:rPr>
          <w:rFonts w:ascii="Arial" w:eastAsiaTheme="minorHAnsi" w:hAnsi="Arial" w:cs="Arial"/>
          <w:color w:val="000000"/>
          <w:sz w:val="24"/>
          <w:szCs w:val="24"/>
        </w:rPr>
      </w:pPr>
      <w:r w:rsidRPr="00046B0A">
        <w:rPr>
          <w:rFonts w:ascii="Arial" w:eastAsiaTheme="minorHAnsi" w:hAnsi="Arial" w:cs="Arial"/>
          <w:color w:val="000000"/>
          <w:sz w:val="24"/>
          <w:szCs w:val="24"/>
        </w:rPr>
        <w:t>This is difficult for hou</w:t>
      </w:r>
      <w:r w:rsidR="008A4C62">
        <w:rPr>
          <w:rFonts w:ascii="Arial" w:eastAsiaTheme="minorHAnsi" w:hAnsi="Arial" w:cs="Arial"/>
          <w:color w:val="000000"/>
          <w:sz w:val="24"/>
          <w:szCs w:val="24"/>
        </w:rPr>
        <w:t>sing associations to answer, because in the case of payments made directly to them (under Alternative Payment Arrangements)</w:t>
      </w:r>
      <w:proofErr w:type="gramStart"/>
      <w:r w:rsidR="00126044">
        <w:rPr>
          <w:rFonts w:ascii="Arial" w:eastAsiaTheme="minorHAnsi" w:hAnsi="Arial" w:cs="Arial"/>
          <w:color w:val="000000"/>
          <w:sz w:val="24"/>
          <w:szCs w:val="24"/>
        </w:rPr>
        <w:t>,</w:t>
      </w:r>
      <w:proofErr w:type="gramEnd"/>
      <w:r w:rsidR="008A4C62">
        <w:rPr>
          <w:rFonts w:ascii="Arial" w:eastAsiaTheme="minorHAnsi" w:hAnsi="Arial" w:cs="Arial"/>
          <w:color w:val="000000"/>
          <w:sz w:val="24"/>
          <w:szCs w:val="24"/>
        </w:rPr>
        <w:t xml:space="preserve"> landlords</w:t>
      </w:r>
      <w:r w:rsidRPr="00046B0A">
        <w:rPr>
          <w:rFonts w:ascii="Arial" w:eastAsiaTheme="minorHAnsi" w:hAnsi="Arial" w:cs="Arial"/>
          <w:color w:val="000000"/>
          <w:sz w:val="24"/>
          <w:szCs w:val="24"/>
        </w:rPr>
        <w:t xml:space="preserve"> are not</w:t>
      </w:r>
      <w:r w:rsidR="00385A29" w:rsidRPr="00046B0A">
        <w:rPr>
          <w:rFonts w:ascii="Arial" w:eastAsiaTheme="minorHAnsi" w:hAnsi="Arial" w:cs="Arial"/>
          <w:color w:val="000000"/>
          <w:sz w:val="24"/>
          <w:szCs w:val="24"/>
        </w:rPr>
        <w:t xml:space="preserve"> provided with a breakdown of how </w:t>
      </w:r>
      <w:r w:rsidR="008A4C62">
        <w:rPr>
          <w:rFonts w:ascii="Arial" w:eastAsiaTheme="minorHAnsi" w:hAnsi="Arial" w:cs="Arial"/>
          <w:color w:val="000000"/>
          <w:sz w:val="24"/>
          <w:szCs w:val="24"/>
        </w:rPr>
        <w:t>the</w:t>
      </w:r>
      <w:r w:rsidR="00385A29" w:rsidRPr="00046B0A">
        <w:rPr>
          <w:rFonts w:ascii="Arial" w:eastAsiaTheme="minorHAnsi" w:hAnsi="Arial" w:cs="Arial"/>
          <w:color w:val="000000"/>
          <w:sz w:val="24"/>
          <w:szCs w:val="24"/>
        </w:rPr>
        <w:t xml:space="preserve"> payment </w:t>
      </w:r>
      <w:r w:rsidRPr="00046B0A">
        <w:rPr>
          <w:rFonts w:ascii="Arial" w:eastAsiaTheme="minorHAnsi" w:hAnsi="Arial" w:cs="Arial"/>
          <w:color w:val="000000"/>
          <w:sz w:val="24"/>
          <w:szCs w:val="24"/>
        </w:rPr>
        <w:t>is</w:t>
      </w:r>
      <w:r w:rsidR="00385A29" w:rsidRPr="00046B0A">
        <w:rPr>
          <w:rFonts w:ascii="Arial" w:eastAsiaTheme="minorHAnsi" w:hAnsi="Arial" w:cs="Arial"/>
          <w:color w:val="000000"/>
          <w:sz w:val="24"/>
          <w:szCs w:val="24"/>
        </w:rPr>
        <w:t xml:space="preserve"> calculated,</w:t>
      </w:r>
      <w:r w:rsidRPr="00046B0A">
        <w:rPr>
          <w:rFonts w:ascii="Arial" w:eastAsiaTheme="minorHAnsi" w:hAnsi="Arial" w:cs="Arial"/>
          <w:color w:val="000000"/>
          <w:sz w:val="24"/>
          <w:szCs w:val="24"/>
        </w:rPr>
        <w:t xml:space="preserve"> with </w:t>
      </w:r>
      <w:r w:rsidR="00385A29" w:rsidRPr="00046B0A">
        <w:rPr>
          <w:rFonts w:ascii="Arial" w:eastAsiaTheme="minorHAnsi" w:hAnsi="Arial" w:cs="Arial"/>
          <w:color w:val="000000"/>
          <w:sz w:val="24"/>
          <w:szCs w:val="24"/>
        </w:rPr>
        <w:t xml:space="preserve">some payments </w:t>
      </w:r>
      <w:r w:rsidRPr="00046B0A">
        <w:rPr>
          <w:rFonts w:ascii="Arial" w:eastAsiaTheme="minorHAnsi" w:hAnsi="Arial" w:cs="Arial"/>
          <w:color w:val="000000"/>
          <w:sz w:val="24"/>
          <w:szCs w:val="24"/>
        </w:rPr>
        <w:t>being</w:t>
      </w:r>
      <w:r w:rsidR="00385A29" w:rsidRPr="00046B0A">
        <w:rPr>
          <w:rFonts w:ascii="Arial" w:eastAsiaTheme="minorHAnsi" w:hAnsi="Arial" w:cs="Arial"/>
          <w:color w:val="000000"/>
          <w:sz w:val="24"/>
          <w:szCs w:val="24"/>
        </w:rPr>
        <w:t xml:space="preserve"> for more than the monthly amount and others less</w:t>
      </w:r>
      <w:r w:rsidRPr="00046B0A">
        <w:rPr>
          <w:rFonts w:ascii="Arial" w:eastAsiaTheme="minorHAnsi" w:hAnsi="Arial" w:cs="Arial"/>
          <w:color w:val="000000"/>
          <w:sz w:val="24"/>
          <w:szCs w:val="24"/>
        </w:rPr>
        <w:t>.</w:t>
      </w:r>
    </w:p>
    <w:p w:rsidR="00046B0A" w:rsidRPr="00046B0A" w:rsidRDefault="00046B0A" w:rsidP="00046B0A">
      <w:pPr>
        <w:spacing w:line="264" w:lineRule="auto"/>
        <w:rPr>
          <w:rFonts w:ascii="Arial" w:hAnsi="Arial" w:cs="Arial"/>
          <w:sz w:val="24"/>
          <w:szCs w:val="24"/>
        </w:rPr>
      </w:pPr>
    </w:p>
    <w:p w:rsidR="00046B0A" w:rsidRPr="0030525C" w:rsidRDefault="00046B0A" w:rsidP="00046B0A">
      <w:pPr>
        <w:spacing w:line="264" w:lineRule="auto"/>
        <w:rPr>
          <w:rFonts w:ascii="Arial" w:hAnsi="Arial" w:cs="Arial"/>
          <w:i/>
          <w:sz w:val="24"/>
          <w:szCs w:val="24"/>
        </w:rPr>
      </w:pPr>
      <w:r w:rsidRPr="0030525C">
        <w:rPr>
          <w:rFonts w:ascii="Arial" w:eastAsia="Times New Roman" w:hAnsi="Arial" w:cs="Arial"/>
          <w:i/>
          <w:color w:val="000000"/>
          <w:sz w:val="24"/>
          <w:szCs w:val="24"/>
          <w:lang w:val="en" w:eastAsia="en-GB"/>
        </w:rPr>
        <w:lastRenderedPageBreak/>
        <w:t>“Payments do not appear to be being made on the same day each month from tenants or from DWP. There is a lack of relevant information on payment schedules from DWP which makes it difficult to identify payment types and tenant references, despite this information being provided.”</w:t>
      </w:r>
    </w:p>
    <w:p w:rsidR="00385A29" w:rsidRPr="00385A29" w:rsidRDefault="00385A29" w:rsidP="00385A29"/>
    <w:p w:rsidR="00385A29" w:rsidRDefault="00385A29" w:rsidP="00385A29">
      <w:pPr>
        <w:pStyle w:val="Heading1"/>
        <w:numPr>
          <w:ilvl w:val="0"/>
          <w:numId w:val="1"/>
        </w:numPr>
        <w:spacing w:before="0" w:line="264" w:lineRule="auto"/>
        <w:ind w:left="0"/>
        <w:contextualSpacing/>
        <w:rPr>
          <w:rFonts w:asciiTheme="minorHAnsi" w:eastAsia="Times New Roman" w:hAnsiTheme="minorHAnsi"/>
          <w:lang w:eastAsia="en-GB"/>
        </w:rPr>
      </w:pPr>
      <w:r>
        <w:rPr>
          <w:rFonts w:asciiTheme="minorHAnsi" w:eastAsia="Times New Roman" w:hAnsiTheme="minorHAnsi"/>
          <w:lang w:eastAsia="en-GB"/>
        </w:rPr>
        <w:t>Have claimants reported making a new claim for Universal Credit, and then found that the system has not registered their claim correctly?</w:t>
      </w:r>
    </w:p>
    <w:p w:rsidR="00385A29" w:rsidRPr="005F2C50" w:rsidRDefault="00046B0A" w:rsidP="00385A29">
      <w:pPr>
        <w:rPr>
          <w:rFonts w:ascii="Arial" w:hAnsi="Arial" w:cs="Arial"/>
          <w:sz w:val="24"/>
          <w:szCs w:val="24"/>
        </w:rPr>
      </w:pPr>
      <w:r w:rsidRPr="005F2C50">
        <w:rPr>
          <w:rFonts w:ascii="Arial" w:hAnsi="Arial" w:cs="Arial"/>
          <w:sz w:val="24"/>
          <w:szCs w:val="24"/>
        </w:rPr>
        <w:t>We have no specific information on this</w:t>
      </w:r>
      <w:r w:rsidR="00A66C3C" w:rsidRPr="005F2C50">
        <w:rPr>
          <w:rFonts w:ascii="Arial" w:hAnsi="Arial" w:cs="Arial"/>
          <w:sz w:val="24"/>
          <w:szCs w:val="24"/>
        </w:rPr>
        <w:t>.</w:t>
      </w:r>
    </w:p>
    <w:p w:rsidR="00A66C3C" w:rsidRPr="00385A29" w:rsidRDefault="00A66C3C" w:rsidP="00385A29"/>
    <w:p w:rsidR="00385A29" w:rsidRDefault="00385A29" w:rsidP="00385A29">
      <w:pPr>
        <w:pStyle w:val="Heading1"/>
        <w:numPr>
          <w:ilvl w:val="0"/>
          <w:numId w:val="1"/>
        </w:numPr>
        <w:spacing w:before="0" w:line="264" w:lineRule="auto"/>
        <w:ind w:left="0"/>
        <w:contextualSpacing/>
        <w:rPr>
          <w:rFonts w:asciiTheme="minorHAnsi" w:eastAsia="Times New Roman" w:hAnsiTheme="minorHAnsi" w:cs="Times New Roman"/>
          <w:sz w:val="24"/>
          <w:szCs w:val="24"/>
          <w:lang w:eastAsia="en-GB"/>
        </w:rPr>
      </w:pPr>
      <w:r>
        <w:rPr>
          <w:rStyle w:val="Heading1Char"/>
          <w:rFonts w:asciiTheme="minorHAnsi" w:hAnsiTheme="minorHAnsi"/>
          <w:lang w:eastAsia="en-GB"/>
        </w:rPr>
        <w:t>What impact is Universal Credit having on rent arrears, what effect is this having on landlords and claimants, and how could the situation be improved</w:t>
      </w:r>
      <w:r>
        <w:rPr>
          <w:rFonts w:asciiTheme="minorHAnsi" w:eastAsia="Times New Roman" w:hAnsiTheme="minorHAnsi" w:cs="Times New Roman"/>
          <w:sz w:val="24"/>
          <w:szCs w:val="24"/>
          <w:lang w:eastAsia="en-GB"/>
        </w:rPr>
        <w:t>?</w:t>
      </w:r>
    </w:p>
    <w:p w:rsidR="00A66C3C" w:rsidRDefault="00A66C3C" w:rsidP="00385A29">
      <w:pPr>
        <w:pStyle w:val="Heading2"/>
        <w:spacing w:before="0" w:line="264" w:lineRule="auto"/>
        <w:contextualSpacing/>
        <w:jc w:val="both"/>
        <w:rPr>
          <w:rFonts w:asciiTheme="minorHAnsi" w:eastAsiaTheme="minorHAnsi" w:hAnsiTheme="minorHAnsi" w:cs="Arial"/>
          <w:color w:val="000000"/>
          <w:sz w:val="23"/>
          <w:szCs w:val="23"/>
        </w:rPr>
      </w:pPr>
    </w:p>
    <w:tbl>
      <w:tblPr>
        <w:tblStyle w:val="TableGrid"/>
        <w:tblW w:w="0" w:type="auto"/>
        <w:tblLook w:val="04A0" w:firstRow="1" w:lastRow="0" w:firstColumn="1" w:lastColumn="0" w:noHBand="0" w:noVBand="1"/>
      </w:tblPr>
      <w:tblGrid>
        <w:gridCol w:w="959"/>
        <w:gridCol w:w="2035"/>
        <w:gridCol w:w="2268"/>
        <w:gridCol w:w="1701"/>
        <w:gridCol w:w="2046"/>
      </w:tblGrid>
      <w:tr w:rsidR="00DE0241" w:rsidRPr="00DE0241" w:rsidTr="0030525C">
        <w:tc>
          <w:tcPr>
            <w:tcW w:w="959" w:type="dxa"/>
          </w:tcPr>
          <w:p w:rsidR="00A66C3C" w:rsidRPr="00DE0241" w:rsidRDefault="00A66C3C" w:rsidP="00385A29">
            <w:pPr>
              <w:pStyle w:val="Heading2"/>
              <w:spacing w:before="0" w:line="264" w:lineRule="auto"/>
              <w:contextualSpacing/>
              <w:jc w:val="both"/>
              <w:outlineLvl w:val="1"/>
              <w:rPr>
                <w:rFonts w:ascii="Arial" w:eastAsiaTheme="minorHAnsi" w:hAnsi="Arial" w:cs="Arial"/>
                <w:color w:val="000000"/>
                <w:sz w:val="24"/>
                <w:szCs w:val="24"/>
              </w:rPr>
            </w:pPr>
          </w:p>
        </w:tc>
        <w:tc>
          <w:tcPr>
            <w:tcW w:w="2035" w:type="dxa"/>
          </w:tcPr>
          <w:p w:rsidR="00A66C3C" w:rsidRPr="00DE0241" w:rsidRDefault="00A66C3C" w:rsidP="007A6B45">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 xml:space="preserve">Number of UC cases </w:t>
            </w:r>
            <w:r w:rsidR="00785205" w:rsidRPr="00DE0241">
              <w:rPr>
                <w:rFonts w:ascii="Arial" w:eastAsiaTheme="minorHAnsi" w:hAnsi="Arial" w:cs="Arial"/>
                <w:color w:val="000000"/>
                <w:sz w:val="24"/>
                <w:szCs w:val="24"/>
              </w:rPr>
              <w:t>where</w:t>
            </w:r>
            <w:r w:rsidRPr="00DE0241">
              <w:rPr>
                <w:rFonts w:ascii="Arial" w:eastAsiaTheme="minorHAnsi" w:hAnsi="Arial" w:cs="Arial"/>
                <w:color w:val="000000"/>
                <w:sz w:val="24"/>
                <w:szCs w:val="24"/>
              </w:rPr>
              <w:t xml:space="preserve"> known</w:t>
            </w:r>
          </w:p>
        </w:tc>
        <w:tc>
          <w:tcPr>
            <w:tcW w:w="2268" w:type="dxa"/>
          </w:tcPr>
          <w:p w:rsidR="00A66C3C" w:rsidRPr="00DE0241" w:rsidRDefault="00A66C3C" w:rsidP="007A6B45">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Proportion of UC</w:t>
            </w:r>
          </w:p>
          <w:p w:rsidR="00A66C3C" w:rsidRPr="00DE0241" w:rsidRDefault="00A66C3C" w:rsidP="007A6B45">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claimants in arrears</w:t>
            </w:r>
          </w:p>
        </w:tc>
        <w:tc>
          <w:tcPr>
            <w:tcW w:w="1701" w:type="dxa"/>
          </w:tcPr>
          <w:p w:rsidR="00A66C3C" w:rsidRPr="00DE0241" w:rsidRDefault="00A66C3C" w:rsidP="007A6B45">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Total amount</w:t>
            </w:r>
          </w:p>
          <w:p w:rsidR="00A66C3C" w:rsidRPr="00DE0241" w:rsidRDefault="00A66C3C" w:rsidP="007A6B45">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of arrears</w:t>
            </w:r>
          </w:p>
        </w:tc>
        <w:tc>
          <w:tcPr>
            <w:tcW w:w="2046" w:type="dxa"/>
          </w:tcPr>
          <w:p w:rsidR="00A66C3C" w:rsidRPr="00DE0241" w:rsidRDefault="00A66C3C" w:rsidP="007A6B45">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Proportion of UC</w:t>
            </w:r>
          </w:p>
          <w:p w:rsidR="00A66C3C" w:rsidRPr="00DE0241" w:rsidRDefault="00A66C3C" w:rsidP="007A6B45">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claimants on APAs</w:t>
            </w:r>
          </w:p>
        </w:tc>
      </w:tr>
      <w:tr w:rsidR="00DE0241" w:rsidRPr="00DE0241" w:rsidTr="0030525C">
        <w:tc>
          <w:tcPr>
            <w:tcW w:w="959" w:type="dxa"/>
          </w:tcPr>
          <w:p w:rsidR="00A66C3C" w:rsidRPr="00DE0241" w:rsidRDefault="0030525C" w:rsidP="00385A29">
            <w:pPr>
              <w:pStyle w:val="Heading2"/>
              <w:spacing w:before="0" w:line="264" w:lineRule="auto"/>
              <w:contextualSpacing/>
              <w:jc w:val="both"/>
              <w:outlineLvl w:val="1"/>
              <w:rPr>
                <w:rFonts w:ascii="Arial" w:eastAsiaTheme="minorHAnsi" w:hAnsi="Arial" w:cs="Arial"/>
                <w:color w:val="000000"/>
                <w:sz w:val="24"/>
                <w:szCs w:val="24"/>
              </w:rPr>
            </w:pPr>
            <w:r>
              <w:rPr>
                <w:rFonts w:ascii="Arial" w:eastAsiaTheme="minorHAnsi" w:hAnsi="Arial" w:cs="Arial"/>
                <w:color w:val="000000"/>
                <w:sz w:val="24"/>
                <w:szCs w:val="24"/>
              </w:rPr>
              <w:t>HA1</w:t>
            </w:r>
          </w:p>
        </w:tc>
        <w:tc>
          <w:tcPr>
            <w:tcW w:w="2035" w:type="dxa"/>
          </w:tcPr>
          <w:p w:rsidR="00A66C3C" w:rsidRPr="00DE0241" w:rsidRDefault="00A66C3C" w:rsidP="00A66C3C">
            <w:pPr>
              <w:pStyle w:val="Heading2"/>
              <w:spacing w:before="0" w:line="264" w:lineRule="auto"/>
              <w:contextualSpacing/>
              <w:jc w:val="center"/>
              <w:outlineLvl w:val="1"/>
              <w:rPr>
                <w:rFonts w:ascii="Arial" w:eastAsiaTheme="minorHAnsi" w:hAnsi="Arial" w:cs="Arial"/>
                <w:color w:val="000000"/>
                <w:sz w:val="24"/>
                <w:szCs w:val="24"/>
              </w:rPr>
            </w:pPr>
          </w:p>
        </w:tc>
        <w:tc>
          <w:tcPr>
            <w:tcW w:w="2268" w:type="dxa"/>
          </w:tcPr>
          <w:p w:rsidR="00A66C3C" w:rsidRPr="00DE0241" w:rsidRDefault="00A66C3C"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89%</w:t>
            </w:r>
          </w:p>
        </w:tc>
        <w:tc>
          <w:tcPr>
            <w:tcW w:w="1701" w:type="dxa"/>
          </w:tcPr>
          <w:p w:rsidR="00A66C3C" w:rsidRPr="00DE0241" w:rsidRDefault="00A66C3C"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£70,628</w:t>
            </w:r>
          </w:p>
        </w:tc>
        <w:tc>
          <w:tcPr>
            <w:tcW w:w="2046" w:type="dxa"/>
          </w:tcPr>
          <w:p w:rsidR="00A66C3C" w:rsidRPr="00DE0241" w:rsidRDefault="00A66C3C"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53%</w:t>
            </w:r>
          </w:p>
        </w:tc>
      </w:tr>
      <w:tr w:rsidR="00DE0241" w:rsidRPr="00DE0241" w:rsidTr="0030525C">
        <w:tc>
          <w:tcPr>
            <w:tcW w:w="959" w:type="dxa"/>
          </w:tcPr>
          <w:p w:rsidR="00A66C3C" w:rsidRPr="00DE0241" w:rsidRDefault="0030525C" w:rsidP="00385A29">
            <w:pPr>
              <w:pStyle w:val="Heading2"/>
              <w:spacing w:before="0" w:line="264" w:lineRule="auto"/>
              <w:contextualSpacing/>
              <w:jc w:val="both"/>
              <w:outlineLvl w:val="1"/>
              <w:rPr>
                <w:rFonts w:ascii="Arial" w:eastAsiaTheme="minorHAnsi" w:hAnsi="Arial" w:cs="Arial"/>
                <w:color w:val="000000"/>
                <w:sz w:val="24"/>
                <w:szCs w:val="24"/>
              </w:rPr>
            </w:pPr>
            <w:r>
              <w:rPr>
                <w:rFonts w:ascii="Arial" w:eastAsiaTheme="minorHAnsi" w:hAnsi="Arial" w:cs="Arial"/>
                <w:color w:val="000000"/>
                <w:sz w:val="24"/>
                <w:szCs w:val="24"/>
              </w:rPr>
              <w:t>HA2</w:t>
            </w:r>
          </w:p>
        </w:tc>
        <w:tc>
          <w:tcPr>
            <w:tcW w:w="2035" w:type="dxa"/>
          </w:tcPr>
          <w:p w:rsidR="00A66C3C" w:rsidRPr="00DE0241" w:rsidRDefault="00A66C3C"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48</w:t>
            </w:r>
          </w:p>
        </w:tc>
        <w:tc>
          <w:tcPr>
            <w:tcW w:w="2268" w:type="dxa"/>
          </w:tcPr>
          <w:p w:rsidR="00A66C3C" w:rsidRPr="00DE0241" w:rsidRDefault="00A66C3C" w:rsidP="0030525C">
            <w:pPr>
              <w:pStyle w:val="Heading2"/>
              <w:spacing w:before="0" w:line="252"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 xml:space="preserve">92% </w:t>
            </w:r>
          </w:p>
        </w:tc>
        <w:tc>
          <w:tcPr>
            <w:tcW w:w="1701" w:type="dxa"/>
          </w:tcPr>
          <w:p w:rsidR="00A66C3C" w:rsidRPr="00DE0241" w:rsidRDefault="00A66C3C"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£14,000</w:t>
            </w:r>
          </w:p>
        </w:tc>
        <w:tc>
          <w:tcPr>
            <w:tcW w:w="2046" w:type="dxa"/>
          </w:tcPr>
          <w:p w:rsidR="00A66C3C" w:rsidRPr="00DE0241" w:rsidRDefault="00A66C3C"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55%</w:t>
            </w:r>
          </w:p>
        </w:tc>
      </w:tr>
      <w:tr w:rsidR="00DE0241" w:rsidRPr="00DE0241" w:rsidTr="0030525C">
        <w:tc>
          <w:tcPr>
            <w:tcW w:w="959" w:type="dxa"/>
          </w:tcPr>
          <w:p w:rsidR="00A66C3C" w:rsidRPr="00DE0241" w:rsidRDefault="0030525C" w:rsidP="00385A29">
            <w:pPr>
              <w:pStyle w:val="Heading2"/>
              <w:spacing w:before="0" w:line="264" w:lineRule="auto"/>
              <w:contextualSpacing/>
              <w:jc w:val="both"/>
              <w:outlineLvl w:val="1"/>
              <w:rPr>
                <w:rFonts w:ascii="Arial" w:eastAsiaTheme="minorHAnsi" w:hAnsi="Arial" w:cs="Arial"/>
                <w:color w:val="000000"/>
                <w:sz w:val="24"/>
                <w:szCs w:val="24"/>
              </w:rPr>
            </w:pPr>
            <w:r>
              <w:rPr>
                <w:rFonts w:ascii="Arial" w:eastAsiaTheme="minorHAnsi" w:hAnsi="Arial" w:cs="Arial"/>
                <w:color w:val="000000"/>
                <w:sz w:val="24"/>
                <w:szCs w:val="24"/>
              </w:rPr>
              <w:t>HA3</w:t>
            </w:r>
          </w:p>
        </w:tc>
        <w:tc>
          <w:tcPr>
            <w:tcW w:w="2035" w:type="dxa"/>
          </w:tcPr>
          <w:p w:rsidR="00A66C3C" w:rsidRPr="00DE0241" w:rsidRDefault="00A66C3C"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49</w:t>
            </w:r>
          </w:p>
        </w:tc>
        <w:tc>
          <w:tcPr>
            <w:tcW w:w="2268" w:type="dxa"/>
          </w:tcPr>
          <w:p w:rsidR="00A66C3C" w:rsidRPr="00DE0241" w:rsidRDefault="00A66C3C"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84%</w:t>
            </w:r>
          </w:p>
        </w:tc>
        <w:tc>
          <w:tcPr>
            <w:tcW w:w="1701" w:type="dxa"/>
          </w:tcPr>
          <w:p w:rsidR="00A66C3C" w:rsidRPr="00DE0241" w:rsidRDefault="00A66C3C"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£30,083</w:t>
            </w:r>
          </w:p>
        </w:tc>
        <w:tc>
          <w:tcPr>
            <w:tcW w:w="2046" w:type="dxa"/>
          </w:tcPr>
          <w:p w:rsidR="00A66C3C" w:rsidRPr="00DE0241" w:rsidRDefault="00A66C3C"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51%</w:t>
            </w:r>
          </w:p>
        </w:tc>
      </w:tr>
      <w:tr w:rsidR="00DE0241" w:rsidRPr="00DE0241" w:rsidTr="0030525C">
        <w:tc>
          <w:tcPr>
            <w:tcW w:w="959" w:type="dxa"/>
          </w:tcPr>
          <w:p w:rsidR="00A66C3C" w:rsidRPr="00DE0241" w:rsidRDefault="0030525C" w:rsidP="00385A29">
            <w:pPr>
              <w:pStyle w:val="Heading2"/>
              <w:spacing w:before="0" w:line="264" w:lineRule="auto"/>
              <w:contextualSpacing/>
              <w:jc w:val="both"/>
              <w:outlineLvl w:val="1"/>
              <w:rPr>
                <w:rFonts w:ascii="Arial" w:eastAsiaTheme="minorHAnsi" w:hAnsi="Arial" w:cs="Arial"/>
                <w:color w:val="000000"/>
                <w:sz w:val="24"/>
                <w:szCs w:val="24"/>
              </w:rPr>
            </w:pPr>
            <w:r>
              <w:rPr>
                <w:rFonts w:ascii="Arial" w:eastAsiaTheme="minorHAnsi" w:hAnsi="Arial" w:cs="Arial"/>
                <w:color w:val="000000"/>
                <w:sz w:val="24"/>
                <w:szCs w:val="24"/>
              </w:rPr>
              <w:t>HA4</w:t>
            </w:r>
          </w:p>
        </w:tc>
        <w:tc>
          <w:tcPr>
            <w:tcW w:w="2035" w:type="dxa"/>
          </w:tcPr>
          <w:p w:rsidR="00A66C3C" w:rsidRPr="00DE0241" w:rsidRDefault="00785205"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9</w:t>
            </w:r>
          </w:p>
        </w:tc>
        <w:tc>
          <w:tcPr>
            <w:tcW w:w="2268" w:type="dxa"/>
          </w:tcPr>
          <w:p w:rsidR="00A66C3C" w:rsidRPr="00DE0241" w:rsidRDefault="00785205"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88%</w:t>
            </w:r>
          </w:p>
        </w:tc>
        <w:tc>
          <w:tcPr>
            <w:tcW w:w="1701" w:type="dxa"/>
          </w:tcPr>
          <w:p w:rsidR="00A66C3C" w:rsidRPr="00DE0241" w:rsidRDefault="00785205"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£6,671</w:t>
            </w:r>
          </w:p>
        </w:tc>
        <w:tc>
          <w:tcPr>
            <w:tcW w:w="2046" w:type="dxa"/>
          </w:tcPr>
          <w:p w:rsidR="00A66C3C" w:rsidRPr="00DE0241" w:rsidRDefault="00785205"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88%</w:t>
            </w:r>
          </w:p>
        </w:tc>
      </w:tr>
      <w:tr w:rsidR="00DE0241" w:rsidRPr="00DE0241" w:rsidTr="0030525C">
        <w:tc>
          <w:tcPr>
            <w:tcW w:w="959" w:type="dxa"/>
          </w:tcPr>
          <w:p w:rsidR="00A66C3C" w:rsidRPr="00DE0241" w:rsidRDefault="0030525C" w:rsidP="00385A29">
            <w:pPr>
              <w:pStyle w:val="Heading2"/>
              <w:spacing w:before="0" w:line="264" w:lineRule="auto"/>
              <w:contextualSpacing/>
              <w:jc w:val="both"/>
              <w:outlineLvl w:val="1"/>
              <w:rPr>
                <w:rFonts w:ascii="Arial" w:eastAsiaTheme="minorHAnsi" w:hAnsi="Arial" w:cs="Arial"/>
                <w:color w:val="000000"/>
                <w:sz w:val="24"/>
                <w:szCs w:val="24"/>
              </w:rPr>
            </w:pPr>
            <w:r>
              <w:rPr>
                <w:rFonts w:ascii="Arial" w:eastAsiaTheme="minorHAnsi" w:hAnsi="Arial" w:cs="Arial"/>
                <w:color w:val="000000"/>
                <w:sz w:val="24"/>
                <w:szCs w:val="24"/>
              </w:rPr>
              <w:t>HA5</w:t>
            </w:r>
          </w:p>
        </w:tc>
        <w:tc>
          <w:tcPr>
            <w:tcW w:w="2035" w:type="dxa"/>
          </w:tcPr>
          <w:p w:rsidR="00A66C3C" w:rsidRPr="00DE0241" w:rsidRDefault="00785205"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39</w:t>
            </w:r>
          </w:p>
        </w:tc>
        <w:tc>
          <w:tcPr>
            <w:tcW w:w="2268" w:type="dxa"/>
          </w:tcPr>
          <w:p w:rsidR="00A66C3C" w:rsidRPr="00DE0241" w:rsidRDefault="00A66C3C" w:rsidP="00A66C3C">
            <w:pPr>
              <w:pStyle w:val="Heading2"/>
              <w:spacing w:before="0" w:line="264" w:lineRule="auto"/>
              <w:contextualSpacing/>
              <w:jc w:val="center"/>
              <w:outlineLvl w:val="1"/>
              <w:rPr>
                <w:rFonts w:ascii="Arial" w:eastAsiaTheme="minorHAnsi" w:hAnsi="Arial" w:cs="Arial"/>
                <w:color w:val="000000"/>
                <w:sz w:val="24"/>
                <w:szCs w:val="24"/>
              </w:rPr>
            </w:pPr>
          </w:p>
        </w:tc>
        <w:tc>
          <w:tcPr>
            <w:tcW w:w="1701" w:type="dxa"/>
          </w:tcPr>
          <w:p w:rsidR="00A66C3C" w:rsidRPr="00DE0241" w:rsidRDefault="00785205"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£16,059</w:t>
            </w:r>
          </w:p>
        </w:tc>
        <w:tc>
          <w:tcPr>
            <w:tcW w:w="2046" w:type="dxa"/>
          </w:tcPr>
          <w:p w:rsidR="00A66C3C" w:rsidRPr="00DE0241" w:rsidRDefault="00785205"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52%</w:t>
            </w:r>
          </w:p>
        </w:tc>
      </w:tr>
      <w:tr w:rsidR="00DE0241" w:rsidRPr="00DE0241" w:rsidTr="0030525C">
        <w:tc>
          <w:tcPr>
            <w:tcW w:w="959" w:type="dxa"/>
          </w:tcPr>
          <w:p w:rsidR="00A66C3C" w:rsidRPr="00DE0241" w:rsidRDefault="0030525C" w:rsidP="00385A29">
            <w:pPr>
              <w:pStyle w:val="Heading2"/>
              <w:spacing w:before="0" w:line="264" w:lineRule="auto"/>
              <w:contextualSpacing/>
              <w:jc w:val="both"/>
              <w:outlineLvl w:val="1"/>
              <w:rPr>
                <w:rFonts w:ascii="Arial" w:eastAsiaTheme="minorHAnsi" w:hAnsi="Arial" w:cs="Arial"/>
                <w:color w:val="000000"/>
                <w:sz w:val="24"/>
                <w:szCs w:val="24"/>
              </w:rPr>
            </w:pPr>
            <w:r>
              <w:rPr>
                <w:rFonts w:ascii="Arial" w:eastAsiaTheme="minorHAnsi" w:hAnsi="Arial" w:cs="Arial"/>
                <w:color w:val="000000"/>
                <w:sz w:val="24"/>
                <w:szCs w:val="24"/>
              </w:rPr>
              <w:t>HA6</w:t>
            </w:r>
          </w:p>
        </w:tc>
        <w:tc>
          <w:tcPr>
            <w:tcW w:w="2035" w:type="dxa"/>
          </w:tcPr>
          <w:p w:rsidR="00A66C3C" w:rsidRPr="00DE0241" w:rsidRDefault="00785205"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7</w:t>
            </w:r>
          </w:p>
        </w:tc>
        <w:tc>
          <w:tcPr>
            <w:tcW w:w="2268" w:type="dxa"/>
          </w:tcPr>
          <w:p w:rsidR="00A66C3C" w:rsidRPr="00DE0241" w:rsidRDefault="00785205"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100%</w:t>
            </w:r>
          </w:p>
        </w:tc>
        <w:tc>
          <w:tcPr>
            <w:tcW w:w="1701" w:type="dxa"/>
          </w:tcPr>
          <w:p w:rsidR="00A66C3C" w:rsidRPr="00DE0241" w:rsidRDefault="00785205"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£1,381</w:t>
            </w:r>
          </w:p>
        </w:tc>
        <w:tc>
          <w:tcPr>
            <w:tcW w:w="2046" w:type="dxa"/>
          </w:tcPr>
          <w:p w:rsidR="00A66C3C" w:rsidRPr="00DE0241" w:rsidRDefault="00785205"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57%</w:t>
            </w:r>
          </w:p>
        </w:tc>
      </w:tr>
      <w:tr w:rsidR="00DE0241" w:rsidRPr="00DE0241" w:rsidTr="0030525C">
        <w:tc>
          <w:tcPr>
            <w:tcW w:w="959" w:type="dxa"/>
          </w:tcPr>
          <w:p w:rsidR="00A66C3C" w:rsidRPr="00DE0241" w:rsidRDefault="0030525C" w:rsidP="00385A29">
            <w:pPr>
              <w:pStyle w:val="Heading2"/>
              <w:spacing w:before="0" w:line="264" w:lineRule="auto"/>
              <w:contextualSpacing/>
              <w:jc w:val="both"/>
              <w:outlineLvl w:val="1"/>
              <w:rPr>
                <w:rFonts w:ascii="Arial" w:eastAsiaTheme="minorHAnsi" w:hAnsi="Arial" w:cs="Arial"/>
                <w:color w:val="000000"/>
                <w:sz w:val="24"/>
                <w:szCs w:val="24"/>
              </w:rPr>
            </w:pPr>
            <w:r>
              <w:rPr>
                <w:rFonts w:ascii="Arial" w:eastAsiaTheme="minorHAnsi" w:hAnsi="Arial" w:cs="Arial"/>
                <w:color w:val="000000"/>
                <w:sz w:val="24"/>
                <w:szCs w:val="24"/>
              </w:rPr>
              <w:t>HA7</w:t>
            </w:r>
          </w:p>
        </w:tc>
        <w:tc>
          <w:tcPr>
            <w:tcW w:w="2035" w:type="dxa"/>
          </w:tcPr>
          <w:p w:rsidR="00A66C3C" w:rsidRPr="00DE0241" w:rsidRDefault="00785205"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20</w:t>
            </w:r>
          </w:p>
        </w:tc>
        <w:tc>
          <w:tcPr>
            <w:tcW w:w="2268" w:type="dxa"/>
          </w:tcPr>
          <w:p w:rsidR="00A66C3C" w:rsidRPr="00DE0241" w:rsidRDefault="00785205"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80%</w:t>
            </w:r>
          </w:p>
        </w:tc>
        <w:tc>
          <w:tcPr>
            <w:tcW w:w="1701" w:type="dxa"/>
          </w:tcPr>
          <w:p w:rsidR="00A66C3C" w:rsidRPr="00DE0241" w:rsidRDefault="00A66C3C" w:rsidP="00A66C3C">
            <w:pPr>
              <w:pStyle w:val="Heading2"/>
              <w:spacing w:before="0" w:line="264" w:lineRule="auto"/>
              <w:contextualSpacing/>
              <w:jc w:val="center"/>
              <w:outlineLvl w:val="1"/>
              <w:rPr>
                <w:rFonts w:ascii="Arial" w:eastAsiaTheme="minorHAnsi" w:hAnsi="Arial" w:cs="Arial"/>
                <w:color w:val="000000"/>
                <w:sz w:val="24"/>
                <w:szCs w:val="24"/>
              </w:rPr>
            </w:pPr>
          </w:p>
        </w:tc>
        <w:tc>
          <w:tcPr>
            <w:tcW w:w="2046" w:type="dxa"/>
          </w:tcPr>
          <w:p w:rsidR="00A66C3C" w:rsidRPr="00DE0241" w:rsidRDefault="00A66C3C" w:rsidP="00A66C3C">
            <w:pPr>
              <w:pStyle w:val="Heading2"/>
              <w:spacing w:before="0" w:line="264" w:lineRule="auto"/>
              <w:contextualSpacing/>
              <w:jc w:val="center"/>
              <w:outlineLvl w:val="1"/>
              <w:rPr>
                <w:rFonts w:ascii="Arial" w:eastAsiaTheme="minorHAnsi" w:hAnsi="Arial" w:cs="Arial"/>
                <w:color w:val="000000"/>
                <w:sz w:val="24"/>
                <w:szCs w:val="24"/>
              </w:rPr>
            </w:pPr>
          </w:p>
        </w:tc>
      </w:tr>
      <w:tr w:rsidR="00DE0241" w:rsidRPr="00DE0241" w:rsidTr="0030525C">
        <w:tc>
          <w:tcPr>
            <w:tcW w:w="959" w:type="dxa"/>
          </w:tcPr>
          <w:p w:rsidR="00A66C3C" w:rsidRPr="00DE0241" w:rsidRDefault="0030525C" w:rsidP="00385A29">
            <w:pPr>
              <w:pStyle w:val="Heading2"/>
              <w:spacing w:before="0" w:line="264" w:lineRule="auto"/>
              <w:contextualSpacing/>
              <w:jc w:val="both"/>
              <w:outlineLvl w:val="1"/>
              <w:rPr>
                <w:rFonts w:ascii="Arial" w:eastAsiaTheme="minorHAnsi" w:hAnsi="Arial" w:cs="Arial"/>
                <w:color w:val="000000"/>
                <w:sz w:val="24"/>
                <w:szCs w:val="24"/>
              </w:rPr>
            </w:pPr>
            <w:r>
              <w:rPr>
                <w:rFonts w:ascii="Arial" w:eastAsiaTheme="minorHAnsi" w:hAnsi="Arial" w:cs="Arial"/>
                <w:color w:val="000000"/>
                <w:sz w:val="24"/>
                <w:szCs w:val="24"/>
              </w:rPr>
              <w:t>HA8</w:t>
            </w:r>
          </w:p>
        </w:tc>
        <w:tc>
          <w:tcPr>
            <w:tcW w:w="2035" w:type="dxa"/>
          </w:tcPr>
          <w:p w:rsidR="00A66C3C" w:rsidRPr="00DE0241" w:rsidRDefault="00785205"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17</w:t>
            </w:r>
          </w:p>
        </w:tc>
        <w:tc>
          <w:tcPr>
            <w:tcW w:w="2268" w:type="dxa"/>
          </w:tcPr>
          <w:p w:rsidR="00A66C3C" w:rsidRPr="00DE0241" w:rsidRDefault="00785205"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90%</w:t>
            </w:r>
          </w:p>
        </w:tc>
        <w:tc>
          <w:tcPr>
            <w:tcW w:w="1701" w:type="dxa"/>
          </w:tcPr>
          <w:p w:rsidR="00A66C3C" w:rsidRPr="00DE0241" w:rsidRDefault="00785205"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£7,500</w:t>
            </w:r>
          </w:p>
        </w:tc>
        <w:tc>
          <w:tcPr>
            <w:tcW w:w="2046" w:type="dxa"/>
          </w:tcPr>
          <w:p w:rsidR="00A66C3C" w:rsidRPr="00DE0241" w:rsidRDefault="00785205"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24%</w:t>
            </w:r>
          </w:p>
        </w:tc>
      </w:tr>
      <w:tr w:rsidR="00DE0241" w:rsidRPr="00DE0241" w:rsidTr="0030525C">
        <w:tc>
          <w:tcPr>
            <w:tcW w:w="959" w:type="dxa"/>
          </w:tcPr>
          <w:p w:rsidR="00A66C3C" w:rsidRPr="00DE0241" w:rsidRDefault="0030525C" w:rsidP="00385A29">
            <w:pPr>
              <w:pStyle w:val="Heading2"/>
              <w:spacing w:before="0" w:line="264" w:lineRule="auto"/>
              <w:contextualSpacing/>
              <w:jc w:val="both"/>
              <w:outlineLvl w:val="1"/>
              <w:rPr>
                <w:rFonts w:ascii="Arial" w:eastAsiaTheme="minorHAnsi" w:hAnsi="Arial" w:cs="Arial"/>
                <w:color w:val="000000"/>
                <w:sz w:val="24"/>
                <w:szCs w:val="24"/>
              </w:rPr>
            </w:pPr>
            <w:r>
              <w:rPr>
                <w:rFonts w:ascii="Arial" w:eastAsiaTheme="minorHAnsi" w:hAnsi="Arial" w:cs="Arial"/>
                <w:color w:val="000000"/>
                <w:sz w:val="24"/>
                <w:szCs w:val="24"/>
              </w:rPr>
              <w:t>HA9</w:t>
            </w:r>
          </w:p>
        </w:tc>
        <w:tc>
          <w:tcPr>
            <w:tcW w:w="2035" w:type="dxa"/>
          </w:tcPr>
          <w:p w:rsidR="00A66C3C" w:rsidRPr="00DE0241" w:rsidRDefault="00D33623"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34</w:t>
            </w:r>
          </w:p>
        </w:tc>
        <w:tc>
          <w:tcPr>
            <w:tcW w:w="2268" w:type="dxa"/>
          </w:tcPr>
          <w:p w:rsidR="00A66C3C" w:rsidRPr="00DE0241" w:rsidRDefault="00D33623"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63%</w:t>
            </w:r>
          </w:p>
        </w:tc>
        <w:tc>
          <w:tcPr>
            <w:tcW w:w="1701" w:type="dxa"/>
          </w:tcPr>
          <w:p w:rsidR="00A66C3C" w:rsidRPr="00DE0241" w:rsidRDefault="00D33623" w:rsidP="00A66C3C">
            <w:pPr>
              <w:pStyle w:val="Heading2"/>
              <w:spacing w:before="0" w:line="264" w:lineRule="auto"/>
              <w:contextualSpacing/>
              <w:jc w:val="center"/>
              <w:outlineLvl w:val="1"/>
              <w:rPr>
                <w:rFonts w:ascii="Arial" w:eastAsiaTheme="minorHAnsi" w:hAnsi="Arial" w:cs="Arial"/>
                <w:color w:val="000000"/>
                <w:sz w:val="24"/>
                <w:szCs w:val="24"/>
              </w:rPr>
            </w:pPr>
            <w:r w:rsidRPr="00DE0241">
              <w:rPr>
                <w:rFonts w:ascii="Arial" w:eastAsiaTheme="minorHAnsi" w:hAnsi="Arial" w:cs="Arial"/>
                <w:color w:val="000000"/>
                <w:sz w:val="24"/>
                <w:szCs w:val="24"/>
              </w:rPr>
              <w:t>£18,000</w:t>
            </w:r>
          </w:p>
        </w:tc>
        <w:tc>
          <w:tcPr>
            <w:tcW w:w="2046" w:type="dxa"/>
          </w:tcPr>
          <w:p w:rsidR="00A66C3C" w:rsidRPr="00DE0241" w:rsidRDefault="00A66C3C" w:rsidP="00A66C3C">
            <w:pPr>
              <w:pStyle w:val="Heading2"/>
              <w:spacing w:before="0" w:line="264" w:lineRule="auto"/>
              <w:contextualSpacing/>
              <w:jc w:val="center"/>
              <w:outlineLvl w:val="1"/>
              <w:rPr>
                <w:rFonts w:ascii="Arial" w:eastAsiaTheme="minorHAnsi" w:hAnsi="Arial" w:cs="Arial"/>
                <w:color w:val="000000"/>
                <w:sz w:val="24"/>
                <w:szCs w:val="24"/>
              </w:rPr>
            </w:pPr>
          </w:p>
        </w:tc>
      </w:tr>
    </w:tbl>
    <w:p w:rsidR="00A66C3C" w:rsidRPr="00DE0241" w:rsidRDefault="00A66C3C" w:rsidP="00385A29">
      <w:pPr>
        <w:pStyle w:val="Heading2"/>
        <w:spacing w:before="0" w:line="264" w:lineRule="auto"/>
        <w:contextualSpacing/>
        <w:jc w:val="both"/>
        <w:rPr>
          <w:rFonts w:ascii="Arial" w:eastAsiaTheme="minorHAnsi" w:hAnsi="Arial" w:cs="Arial"/>
          <w:color w:val="000000"/>
          <w:sz w:val="24"/>
          <w:szCs w:val="24"/>
        </w:rPr>
      </w:pPr>
    </w:p>
    <w:p w:rsidR="008A4C62" w:rsidRDefault="008A4C62" w:rsidP="00DE0241">
      <w:pPr>
        <w:pStyle w:val="Heading2"/>
        <w:spacing w:before="0" w:line="264" w:lineRule="auto"/>
        <w:contextualSpacing/>
        <w:rPr>
          <w:rFonts w:ascii="Arial" w:eastAsiaTheme="minorHAnsi" w:hAnsi="Arial" w:cs="Arial"/>
          <w:color w:val="000000"/>
          <w:sz w:val="24"/>
          <w:szCs w:val="24"/>
        </w:rPr>
      </w:pPr>
      <w:r>
        <w:rPr>
          <w:rFonts w:ascii="Arial" w:eastAsiaTheme="minorHAnsi" w:hAnsi="Arial" w:cs="Arial"/>
          <w:color w:val="000000"/>
          <w:sz w:val="24"/>
          <w:szCs w:val="24"/>
        </w:rPr>
        <w:t xml:space="preserve">The above table shows data from nine member associations collected in the short time available. Estimates of what proportion of </w:t>
      </w:r>
      <w:r w:rsidR="007B2FE3">
        <w:rPr>
          <w:rFonts w:ascii="Arial" w:eastAsiaTheme="minorHAnsi" w:hAnsi="Arial" w:cs="Arial"/>
          <w:color w:val="000000"/>
          <w:sz w:val="24"/>
          <w:szCs w:val="24"/>
        </w:rPr>
        <w:t>people in arrears and</w:t>
      </w:r>
      <w:r>
        <w:rPr>
          <w:rFonts w:ascii="Arial" w:eastAsiaTheme="minorHAnsi" w:hAnsi="Arial" w:cs="Arial"/>
          <w:color w:val="000000"/>
          <w:sz w:val="24"/>
          <w:szCs w:val="24"/>
        </w:rPr>
        <w:t xml:space="preserve"> on UC can be attributed specifically to the advent of UC vary from</w:t>
      </w:r>
      <w:r w:rsidR="007B2FE3">
        <w:rPr>
          <w:rFonts w:ascii="Arial" w:eastAsiaTheme="minorHAnsi" w:hAnsi="Arial" w:cs="Arial"/>
          <w:color w:val="000000"/>
          <w:sz w:val="24"/>
          <w:szCs w:val="24"/>
        </w:rPr>
        <w:t xml:space="preserve"> around 50% upwards. Even at 50%, this means that half of people in arrears had no arrears issues prior to going onto UC.</w:t>
      </w:r>
    </w:p>
    <w:p w:rsidR="008A4C62" w:rsidRDefault="008A4C62" w:rsidP="00DE0241">
      <w:pPr>
        <w:pStyle w:val="Heading2"/>
        <w:spacing w:before="0" w:line="264" w:lineRule="auto"/>
        <w:contextualSpacing/>
        <w:rPr>
          <w:rFonts w:ascii="Arial" w:eastAsiaTheme="minorHAnsi" w:hAnsi="Arial" w:cs="Arial"/>
          <w:color w:val="000000"/>
          <w:sz w:val="24"/>
          <w:szCs w:val="24"/>
        </w:rPr>
      </w:pPr>
    </w:p>
    <w:p w:rsidR="008D0502" w:rsidRPr="00DE0241" w:rsidRDefault="008D0502" w:rsidP="00DE0241">
      <w:pPr>
        <w:pStyle w:val="Heading2"/>
        <w:spacing w:before="0" w:line="264" w:lineRule="auto"/>
        <w:contextualSpacing/>
        <w:rPr>
          <w:rFonts w:ascii="Arial" w:eastAsiaTheme="minorHAnsi" w:hAnsi="Arial" w:cs="Arial"/>
          <w:color w:val="000000"/>
          <w:sz w:val="24"/>
          <w:szCs w:val="24"/>
        </w:rPr>
      </w:pPr>
      <w:r w:rsidRPr="00DE0241">
        <w:rPr>
          <w:rFonts w:ascii="Arial" w:eastAsiaTheme="minorHAnsi" w:hAnsi="Arial" w:cs="Arial"/>
          <w:color w:val="000000"/>
          <w:sz w:val="24"/>
          <w:szCs w:val="24"/>
        </w:rPr>
        <w:t>Members report that arrears arise through a combination of</w:t>
      </w:r>
      <w:r w:rsidR="00385A29" w:rsidRPr="00DE0241">
        <w:rPr>
          <w:rFonts w:ascii="Arial" w:eastAsiaTheme="minorHAnsi" w:hAnsi="Arial" w:cs="Arial"/>
          <w:color w:val="000000"/>
          <w:sz w:val="24"/>
          <w:szCs w:val="24"/>
        </w:rPr>
        <w:t xml:space="preserve"> the delay in claimants receiving their first payment</w:t>
      </w:r>
      <w:r w:rsidRPr="00DE0241">
        <w:rPr>
          <w:rFonts w:ascii="Arial" w:eastAsiaTheme="minorHAnsi" w:hAnsi="Arial" w:cs="Arial"/>
          <w:color w:val="000000"/>
          <w:sz w:val="24"/>
          <w:szCs w:val="24"/>
        </w:rPr>
        <w:t>, a</w:t>
      </w:r>
      <w:r w:rsidR="00126044">
        <w:rPr>
          <w:rFonts w:ascii="Arial" w:eastAsiaTheme="minorHAnsi" w:hAnsi="Arial" w:cs="Arial"/>
          <w:color w:val="000000"/>
          <w:sz w:val="24"/>
          <w:szCs w:val="24"/>
        </w:rPr>
        <w:t>nd</w:t>
      </w:r>
      <w:r w:rsidRPr="00DE0241">
        <w:rPr>
          <w:rFonts w:ascii="Arial" w:eastAsiaTheme="minorHAnsi" w:hAnsi="Arial" w:cs="Arial"/>
          <w:color w:val="000000"/>
          <w:sz w:val="24"/>
          <w:szCs w:val="24"/>
        </w:rPr>
        <w:t xml:space="preserve"> the DWP’s failure </w:t>
      </w:r>
      <w:r w:rsidR="00385A29" w:rsidRPr="00DE0241">
        <w:rPr>
          <w:rFonts w:ascii="Arial" w:eastAsiaTheme="minorHAnsi" w:hAnsi="Arial" w:cs="Arial"/>
          <w:color w:val="000000"/>
          <w:sz w:val="24"/>
          <w:szCs w:val="24"/>
        </w:rPr>
        <w:t xml:space="preserve">to request housing costs information. </w:t>
      </w:r>
    </w:p>
    <w:p w:rsidR="008D0502" w:rsidRPr="00DE0241" w:rsidRDefault="008D0502" w:rsidP="00DE0241">
      <w:pPr>
        <w:rPr>
          <w:rFonts w:ascii="Arial" w:hAnsi="Arial" w:cs="Arial"/>
          <w:sz w:val="24"/>
          <w:szCs w:val="24"/>
        </w:rPr>
      </w:pPr>
    </w:p>
    <w:p w:rsidR="00385A29" w:rsidRPr="0030525C" w:rsidRDefault="008D0502" w:rsidP="00DE0241">
      <w:pPr>
        <w:pStyle w:val="Heading2"/>
        <w:spacing w:before="0" w:line="264" w:lineRule="auto"/>
        <w:contextualSpacing/>
        <w:rPr>
          <w:rFonts w:ascii="Arial" w:eastAsiaTheme="minorHAnsi" w:hAnsi="Arial" w:cs="Arial"/>
          <w:i/>
          <w:color w:val="000000"/>
          <w:sz w:val="24"/>
          <w:szCs w:val="24"/>
        </w:rPr>
      </w:pPr>
      <w:r w:rsidRPr="0030525C">
        <w:rPr>
          <w:rFonts w:ascii="Arial" w:eastAsiaTheme="minorHAnsi" w:hAnsi="Arial" w:cs="Arial"/>
          <w:i/>
          <w:color w:val="000000"/>
          <w:sz w:val="24"/>
          <w:szCs w:val="24"/>
        </w:rPr>
        <w:t>“</w:t>
      </w:r>
      <w:r w:rsidR="00385A29" w:rsidRPr="0030525C">
        <w:rPr>
          <w:rFonts w:ascii="Arial" w:eastAsiaTheme="minorHAnsi" w:hAnsi="Arial" w:cs="Arial"/>
          <w:i/>
          <w:color w:val="000000"/>
          <w:sz w:val="24"/>
          <w:szCs w:val="24"/>
        </w:rPr>
        <w:t>When the tenant receives their first payment and it doesn’t include any Housing Costs they are routinely being told this is due to the landlord not responding to a request. In 100% of cases this isn’t true. We respond the same day to SRS requests and frequently have provided the information on multiple occasions.</w:t>
      </w:r>
      <w:r w:rsidRPr="0030525C">
        <w:rPr>
          <w:rFonts w:ascii="Arial" w:eastAsiaTheme="minorHAnsi" w:hAnsi="Arial" w:cs="Arial"/>
          <w:i/>
          <w:color w:val="000000"/>
          <w:sz w:val="24"/>
          <w:szCs w:val="24"/>
        </w:rPr>
        <w:t>”</w:t>
      </w:r>
    </w:p>
    <w:p w:rsidR="007B2FE3" w:rsidRPr="0030525C" w:rsidRDefault="007B2FE3" w:rsidP="007B2FE3">
      <w:pPr>
        <w:rPr>
          <w:i/>
        </w:rPr>
      </w:pPr>
    </w:p>
    <w:p w:rsidR="007B2FE3" w:rsidRPr="0030525C" w:rsidRDefault="007B2FE3" w:rsidP="007B2FE3">
      <w:pPr>
        <w:rPr>
          <w:rFonts w:ascii="Arial" w:hAnsi="Arial" w:cs="Arial"/>
          <w:i/>
          <w:sz w:val="24"/>
          <w:szCs w:val="24"/>
        </w:rPr>
      </w:pPr>
      <w:r w:rsidRPr="0030525C">
        <w:rPr>
          <w:rFonts w:ascii="Arial" w:hAnsi="Arial" w:cs="Arial"/>
          <w:i/>
          <w:sz w:val="24"/>
          <w:szCs w:val="24"/>
        </w:rPr>
        <w:lastRenderedPageBreak/>
        <w:t>“We are relying on tenants contacting us to confirm they are claiming UC. We could have some tenants on UC that we’re not aware of as they could be paying us directly, but we don’t know until the payments stop.”</w:t>
      </w:r>
    </w:p>
    <w:p w:rsidR="00385A29" w:rsidRPr="007B2FE3" w:rsidRDefault="00385A29" w:rsidP="00DE0241">
      <w:pPr>
        <w:pStyle w:val="Heading2"/>
        <w:spacing w:before="0" w:line="264" w:lineRule="auto"/>
        <w:contextualSpacing/>
        <w:rPr>
          <w:rFonts w:ascii="Arial" w:eastAsiaTheme="minorHAnsi" w:hAnsi="Arial" w:cs="Arial"/>
          <w:color w:val="000000"/>
          <w:sz w:val="24"/>
          <w:szCs w:val="24"/>
        </w:rPr>
      </w:pPr>
    </w:p>
    <w:p w:rsidR="00385A29" w:rsidRPr="00126044" w:rsidRDefault="008D0502" w:rsidP="00DE0241">
      <w:pPr>
        <w:pStyle w:val="Heading2"/>
        <w:spacing w:before="0" w:line="264" w:lineRule="auto"/>
        <w:contextualSpacing/>
        <w:rPr>
          <w:rFonts w:ascii="Arial" w:eastAsiaTheme="minorHAnsi" w:hAnsi="Arial" w:cs="Arial"/>
          <w:i/>
          <w:color w:val="000000"/>
          <w:sz w:val="24"/>
          <w:szCs w:val="24"/>
        </w:rPr>
      </w:pPr>
      <w:r w:rsidRPr="00126044">
        <w:rPr>
          <w:rFonts w:ascii="Arial" w:eastAsiaTheme="minorHAnsi" w:hAnsi="Arial" w:cs="Arial"/>
          <w:i/>
          <w:color w:val="000000"/>
          <w:sz w:val="24"/>
          <w:szCs w:val="24"/>
        </w:rPr>
        <w:t>“</w:t>
      </w:r>
      <w:r w:rsidR="00385A29" w:rsidRPr="00126044">
        <w:rPr>
          <w:rFonts w:ascii="Arial" w:eastAsiaTheme="minorHAnsi" w:hAnsi="Arial" w:cs="Arial"/>
          <w:i/>
          <w:color w:val="000000"/>
          <w:sz w:val="24"/>
          <w:szCs w:val="24"/>
        </w:rPr>
        <w:t>We have already been to court with 2 tenants and secured a decree for eviction for one of these. We are about to go to court with a 3rd which was readily avoidable. As soon as we became aware of his claim for UC we requested an APA on the basis he met the criteria</w:t>
      </w:r>
      <w:r w:rsidR="00385A29" w:rsidRPr="00126044">
        <w:rPr>
          <w:rFonts w:ascii="Arial" w:hAnsi="Arial" w:cs="Arial"/>
          <w:i/>
          <w:sz w:val="24"/>
          <w:szCs w:val="24"/>
        </w:rPr>
        <w:t xml:space="preserve"> </w:t>
      </w:r>
      <w:r w:rsidR="00385A29" w:rsidRPr="00126044">
        <w:rPr>
          <w:rFonts w:ascii="Arial" w:eastAsiaTheme="minorHAnsi" w:hAnsi="Arial" w:cs="Arial"/>
          <w:i/>
          <w:color w:val="000000"/>
          <w:sz w:val="24"/>
          <w:szCs w:val="24"/>
        </w:rPr>
        <w:t>through addiction and a long history of arrears. There was no response to this request and we have no way of escalating such an issue if a tenant is</w:t>
      </w:r>
      <w:r w:rsidR="00126044" w:rsidRPr="00126044">
        <w:rPr>
          <w:rFonts w:ascii="Arial" w:eastAsiaTheme="minorHAnsi" w:hAnsi="Arial" w:cs="Arial"/>
          <w:i/>
          <w:color w:val="000000"/>
          <w:sz w:val="24"/>
          <w:szCs w:val="24"/>
        </w:rPr>
        <w:t xml:space="preserve"> not willing to engage with us.”</w:t>
      </w:r>
    </w:p>
    <w:p w:rsidR="005F2C50" w:rsidRDefault="005F2C50" w:rsidP="005F2C50"/>
    <w:p w:rsidR="005F2C50" w:rsidRDefault="005F2C50" w:rsidP="005F2C50">
      <w:pPr>
        <w:spacing w:line="264" w:lineRule="auto"/>
        <w:rPr>
          <w:rFonts w:ascii="Arial" w:hAnsi="Arial" w:cs="Arial"/>
          <w:color w:val="000000"/>
          <w:sz w:val="24"/>
          <w:szCs w:val="24"/>
        </w:rPr>
      </w:pPr>
      <w:r w:rsidRPr="005F2C50">
        <w:rPr>
          <w:rFonts w:ascii="Arial" w:hAnsi="Arial" w:cs="Arial"/>
          <w:color w:val="000000"/>
          <w:sz w:val="24"/>
          <w:szCs w:val="24"/>
        </w:rPr>
        <w:t>As well as the lack of ‘from the outset’ direct payments to landlords, members all cited the need for much better communication and information sharing between landlords and the DWP, including easier use of explicit consent, along with the need for improved payment schedules, notification of payment and expected date of payment and amount</w:t>
      </w:r>
      <w:r>
        <w:rPr>
          <w:rFonts w:ascii="Arial" w:hAnsi="Arial" w:cs="Arial"/>
          <w:color w:val="000000"/>
          <w:sz w:val="24"/>
          <w:szCs w:val="24"/>
        </w:rPr>
        <w:t xml:space="preserve">, </w:t>
      </w:r>
      <w:r w:rsidRPr="005F2C50">
        <w:rPr>
          <w:rFonts w:ascii="Arial" w:hAnsi="Arial" w:cs="Arial"/>
          <w:color w:val="000000"/>
          <w:sz w:val="24"/>
          <w:szCs w:val="24"/>
        </w:rPr>
        <w:t>greater frequency of payment and shorter assessment periods.</w:t>
      </w:r>
    </w:p>
    <w:p w:rsidR="00A94E12" w:rsidRDefault="00A94E12" w:rsidP="005F2C50">
      <w:pPr>
        <w:spacing w:line="264" w:lineRule="auto"/>
        <w:rPr>
          <w:rFonts w:ascii="Arial" w:hAnsi="Arial" w:cs="Arial"/>
          <w:color w:val="000000"/>
          <w:sz w:val="24"/>
          <w:szCs w:val="24"/>
        </w:rPr>
      </w:pPr>
    </w:p>
    <w:p w:rsidR="00A94E12" w:rsidRPr="0030525C" w:rsidRDefault="00A94E12" w:rsidP="005F2C50">
      <w:pPr>
        <w:spacing w:line="264" w:lineRule="auto"/>
        <w:rPr>
          <w:rFonts w:ascii="Arial" w:hAnsi="Arial" w:cs="Arial"/>
          <w:i/>
          <w:color w:val="000000"/>
          <w:sz w:val="24"/>
          <w:szCs w:val="24"/>
        </w:rPr>
      </w:pPr>
      <w:r w:rsidRPr="0030525C">
        <w:rPr>
          <w:rFonts w:ascii="Arial" w:hAnsi="Arial" w:cs="Arial"/>
          <w:i/>
          <w:color w:val="000000"/>
          <w:sz w:val="24"/>
          <w:szCs w:val="24"/>
        </w:rPr>
        <w:t>“</w:t>
      </w:r>
      <w:r w:rsidRPr="0030525C">
        <w:rPr>
          <w:rFonts w:ascii="Arial" w:hAnsi="Arial" w:cs="Arial"/>
          <w:bCs/>
          <w:i/>
          <w:color w:val="000000"/>
          <w:sz w:val="24"/>
          <w:szCs w:val="24"/>
        </w:rPr>
        <w:t xml:space="preserve">The main issue with UC is the fact that we </w:t>
      </w:r>
      <w:proofErr w:type="gramStart"/>
      <w:r w:rsidRPr="0030525C">
        <w:rPr>
          <w:rFonts w:ascii="Arial" w:hAnsi="Arial" w:cs="Arial"/>
          <w:bCs/>
          <w:i/>
          <w:color w:val="000000"/>
          <w:sz w:val="24"/>
          <w:szCs w:val="24"/>
        </w:rPr>
        <w:t>are really having</w:t>
      </w:r>
      <w:proofErr w:type="gramEnd"/>
      <w:r w:rsidRPr="0030525C">
        <w:rPr>
          <w:rFonts w:ascii="Arial" w:hAnsi="Arial" w:cs="Arial"/>
          <w:bCs/>
          <w:i/>
          <w:color w:val="000000"/>
          <w:sz w:val="24"/>
          <w:szCs w:val="24"/>
        </w:rPr>
        <w:t xml:space="preserve"> to rely on the tenant to tell us they are claiming UC, which could be several months after the event.  DWP just don’t seem organised with regard to advising us of new claimants.  We have been speaking to the local Job Centre and got a kind of informal agreement that if their job coaches are seeing any of our tenants who are new to claiming UC to send them over to us to get a rent statement as they need this to make their initial claim.  Another problem is that UC do not advise when a tenant is no longer getting UC or Housing Element as they are now working, and again we are relying on the tenant telling us this.” </w:t>
      </w:r>
    </w:p>
    <w:p w:rsidR="00385A29" w:rsidRPr="00DE0241" w:rsidRDefault="00385A29" w:rsidP="00DE0241">
      <w:pPr>
        <w:pStyle w:val="ListParagraph"/>
        <w:spacing w:line="264" w:lineRule="auto"/>
        <w:ind w:left="0" w:firstLine="45"/>
        <w:rPr>
          <w:rFonts w:ascii="Arial" w:hAnsi="Arial" w:cs="Arial"/>
          <w:sz w:val="24"/>
          <w:szCs w:val="24"/>
        </w:rPr>
      </w:pPr>
    </w:p>
    <w:p w:rsidR="00385A29" w:rsidRDefault="008D0502" w:rsidP="00DE0241">
      <w:pPr>
        <w:pStyle w:val="ListParagraph"/>
        <w:spacing w:line="264" w:lineRule="auto"/>
        <w:ind w:left="0"/>
        <w:rPr>
          <w:rFonts w:ascii="Arial" w:hAnsi="Arial" w:cs="Arial"/>
          <w:sz w:val="24"/>
          <w:szCs w:val="24"/>
        </w:rPr>
      </w:pPr>
      <w:r w:rsidRPr="00DE0241">
        <w:rPr>
          <w:rFonts w:ascii="Arial" w:hAnsi="Arial" w:cs="Arial"/>
          <w:sz w:val="24"/>
          <w:szCs w:val="24"/>
        </w:rPr>
        <w:t>A significant barrier for landlords is the difficulty of giving advice to people</w:t>
      </w:r>
      <w:r w:rsidR="008A4C62">
        <w:rPr>
          <w:rFonts w:ascii="Arial" w:hAnsi="Arial" w:cs="Arial"/>
          <w:sz w:val="24"/>
          <w:szCs w:val="24"/>
        </w:rPr>
        <w:t>,</w:t>
      </w:r>
      <w:r w:rsidRPr="00DE0241">
        <w:rPr>
          <w:rFonts w:ascii="Arial" w:hAnsi="Arial" w:cs="Arial"/>
          <w:sz w:val="24"/>
          <w:szCs w:val="24"/>
        </w:rPr>
        <w:t xml:space="preserve"> as</w:t>
      </w:r>
      <w:r w:rsidR="00385A29" w:rsidRPr="00DE0241">
        <w:rPr>
          <w:rFonts w:ascii="Arial" w:hAnsi="Arial" w:cs="Arial"/>
          <w:sz w:val="24"/>
          <w:szCs w:val="24"/>
        </w:rPr>
        <w:t xml:space="preserve"> the DWP will only deal directly with the claimant.  </w:t>
      </w:r>
      <w:r w:rsidRPr="00DE0241">
        <w:rPr>
          <w:rFonts w:ascii="Arial" w:hAnsi="Arial" w:cs="Arial"/>
          <w:sz w:val="24"/>
          <w:szCs w:val="24"/>
        </w:rPr>
        <w:t>So unless landlords are</w:t>
      </w:r>
      <w:r w:rsidR="00385A29" w:rsidRPr="00DE0241">
        <w:rPr>
          <w:rFonts w:ascii="Arial" w:hAnsi="Arial" w:cs="Arial"/>
          <w:sz w:val="24"/>
          <w:szCs w:val="24"/>
        </w:rPr>
        <w:t xml:space="preserve"> with the claimant at the time and the</w:t>
      </w:r>
      <w:r w:rsidRPr="00DE0241">
        <w:rPr>
          <w:rFonts w:ascii="Arial" w:hAnsi="Arial" w:cs="Arial"/>
          <w:sz w:val="24"/>
          <w:szCs w:val="24"/>
        </w:rPr>
        <w:t xml:space="preserve"> claimant</w:t>
      </w:r>
      <w:r w:rsidR="00385A29" w:rsidRPr="00DE0241">
        <w:rPr>
          <w:rFonts w:ascii="Arial" w:hAnsi="Arial" w:cs="Arial"/>
          <w:sz w:val="24"/>
          <w:szCs w:val="24"/>
        </w:rPr>
        <w:t xml:space="preserve"> can consent to someone else speaking on their behalf, </w:t>
      </w:r>
      <w:r w:rsidRPr="00DE0241">
        <w:rPr>
          <w:rFonts w:ascii="Arial" w:hAnsi="Arial" w:cs="Arial"/>
          <w:sz w:val="24"/>
          <w:szCs w:val="24"/>
        </w:rPr>
        <w:t>landlords are totally</w:t>
      </w:r>
      <w:r w:rsidR="00385A29" w:rsidRPr="00DE0241">
        <w:rPr>
          <w:rFonts w:ascii="Arial" w:hAnsi="Arial" w:cs="Arial"/>
          <w:sz w:val="24"/>
          <w:szCs w:val="24"/>
        </w:rPr>
        <w:t xml:space="preserve"> reliant on what </w:t>
      </w:r>
      <w:r w:rsidRPr="00DE0241">
        <w:rPr>
          <w:rFonts w:ascii="Arial" w:hAnsi="Arial" w:cs="Arial"/>
          <w:sz w:val="24"/>
          <w:szCs w:val="24"/>
        </w:rPr>
        <w:t>information the</w:t>
      </w:r>
      <w:r w:rsidR="00385A29" w:rsidRPr="00DE0241">
        <w:rPr>
          <w:rFonts w:ascii="Arial" w:hAnsi="Arial" w:cs="Arial"/>
          <w:sz w:val="24"/>
          <w:szCs w:val="24"/>
        </w:rPr>
        <w:t xml:space="preserve"> claimant is </w:t>
      </w:r>
      <w:r w:rsidRPr="00DE0241">
        <w:rPr>
          <w:rFonts w:ascii="Arial" w:hAnsi="Arial" w:cs="Arial"/>
          <w:sz w:val="24"/>
          <w:szCs w:val="24"/>
        </w:rPr>
        <w:t>providing</w:t>
      </w:r>
      <w:r w:rsidR="00385A29" w:rsidRPr="00DE0241">
        <w:rPr>
          <w:rFonts w:ascii="Arial" w:hAnsi="Arial" w:cs="Arial"/>
          <w:sz w:val="24"/>
          <w:szCs w:val="24"/>
        </w:rPr>
        <w:t>.  The loss of Implicit Consent within Full Service</w:t>
      </w:r>
      <w:r w:rsidR="00DE0241" w:rsidRPr="00DE0241">
        <w:rPr>
          <w:rFonts w:ascii="Arial" w:hAnsi="Arial" w:cs="Arial"/>
          <w:sz w:val="24"/>
          <w:szCs w:val="24"/>
        </w:rPr>
        <w:t xml:space="preserve"> areas</w:t>
      </w:r>
      <w:r w:rsidR="00385A29" w:rsidRPr="00DE0241">
        <w:rPr>
          <w:rFonts w:ascii="Arial" w:hAnsi="Arial" w:cs="Arial"/>
          <w:sz w:val="24"/>
          <w:szCs w:val="24"/>
        </w:rPr>
        <w:t xml:space="preserve"> is a </w:t>
      </w:r>
      <w:r w:rsidR="008A4C62">
        <w:rPr>
          <w:rFonts w:ascii="Arial" w:hAnsi="Arial" w:cs="Arial"/>
          <w:sz w:val="24"/>
          <w:szCs w:val="24"/>
        </w:rPr>
        <w:t>major</w:t>
      </w:r>
      <w:r w:rsidR="00385A29" w:rsidRPr="00DE0241">
        <w:rPr>
          <w:rFonts w:ascii="Arial" w:hAnsi="Arial" w:cs="Arial"/>
          <w:sz w:val="24"/>
          <w:szCs w:val="24"/>
        </w:rPr>
        <w:t xml:space="preserve"> failing in enabling claimants, especially the more vulnerable</w:t>
      </w:r>
      <w:r w:rsidR="00DE0241" w:rsidRPr="00DE0241">
        <w:rPr>
          <w:rFonts w:ascii="Arial" w:hAnsi="Arial" w:cs="Arial"/>
          <w:sz w:val="24"/>
          <w:szCs w:val="24"/>
        </w:rPr>
        <w:t>,</w:t>
      </w:r>
      <w:r w:rsidR="00385A29" w:rsidRPr="00DE0241">
        <w:rPr>
          <w:rFonts w:ascii="Arial" w:hAnsi="Arial" w:cs="Arial"/>
          <w:sz w:val="24"/>
          <w:szCs w:val="24"/>
        </w:rPr>
        <w:t xml:space="preserve"> to allow </w:t>
      </w:r>
      <w:r w:rsidR="00DE0241" w:rsidRPr="00DE0241">
        <w:rPr>
          <w:rFonts w:ascii="Arial" w:hAnsi="Arial" w:cs="Arial"/>
          <w:sz w:val="24"/>
          <w:szCs w:val="24"/>
        </w:rPr>
        <w:t>landlords</w:t>
      </w:r>
      <w:r w:rsidR="00385A29" w:rsidRPr="00DE0241">
        <w:rPr>
          <w:rFonts w:ascii="Arial" w:hAnsi="Arial" w:cs="Arial"/>
          <w:sz w:val="24"/>
          <w:szCs w:val="24"/>
        </w:rPr>
        <w:t xml:space="preserve"> to escalate issues with their claim.</w:t>
      </w:r>
    </w:p>
    <w:p w:rsidR="005F2C50" w:rsidRDefault="005F2C50" w:rsidP="00DE0241">
      <w:pPr>
        <w:pStyle w:val="ListParagraph"/>
        <w:spacing w:line="264" w:lineRule="auto"/>
        <w:ind w:left="0"/>
        <w:rPr>
          <w:rFonts w:ascii="Arial" w:hAnsi="Arial" w:cs="Arial"/>
          <w:sz w:val="24"/>
          <w:szCs w:val="24"/>
        </w:rPr>
      </w:pPr>
    </w:p>
    <w:p w:rsidR="000B4140" w:rsidRDefault="00043090" w:rsidP="00DE0241">
      <w:pPr>
        <w:pStyle w:val="ListParagraph"/>
        <w:spacing w:line="264" w:lineRule="auto"/>
        <w:ind w:left="0"/>
        <w:rPr>
          <w:rFonts w:ascii="Arial" w:hAnsi="Arial" w:cs="Arial"/>
          <w:sz w:val="24"/>
          <w:szCs w:val="24"/>
        </w:rPr>
      </w:pPr>
      <w:r>
        <w:rPr>
          <w:rFonts w:ascii="Arial" w:hAnsi="Arial" w:cs="Arial"/>
          <w:sz w:val="24"/>
          <w:szCs w:val="24"/>
        </w:rPr>
        <w:t xml:space="preserve">Landlords’ experience of the system of Alternative Payment Arrangements is mixed. The process for applying is generally considered to be straightforward, but some associations have found it difficult to get any feedback from DWP on APA requests and have had to chase up to get a response and have payments started. </w:t>
      </w:r>
      <w:r w:rsidR="00697766">
        <w:rPr>
          <w:rFonts w:ascii="Arial" w:hAnsi="Arial" w:cs="Arial"/>
          <w:sz w:val="24"/>
          <w:szCs w:val="24"/>
        </w:rPr>
        <w:t>It is normal for landlords to wait around 6-8 weeks for an APA payment to be put in place.</w:t>
      </w:r>
    </w:p>
    <w:p w:rsidR="000B4140" w:rsidRDefault="000B4140" w:rsidP="00DE0241">
      <w:pPr>
        <w:pStyle w:val="ListParagraph"/>
        <w:spacing w:line="264" w:lineRule="auto"/>
        <w:ind w:left="0"/>
        <w:rPr>
          <w:rFonts w:ascii="Arial" w:hAnsi="Arial" w:cs="Arial"/>
          <w:sz w:val="24"/>
          <w:szCs w:val="24"/>
        </w:rPr>
      </w:pPr>
    </w:p>
    <w:p w:rsidR="00385A29" w:rsidRDefault="00043090" w:rsidP="00DE0241">
      <w:pPr>
        <w:pStyle w:val="ListParagraph"/>
        <w:spacing w:line="264" w:lineRule="auto"/>
        <w:ind w:left="0"/>
        <w:rPr>
          <w:rFonts w:ascii="Arial" w:hAnsi="Arial" w:cs="Arial"/>
          <w:sz w:val="24"/>
          <w:szCs w:val="24"/>
        </w:rPr>
      </w:pPr>
      <w:r>
        <w:rPr>
          <w:rFonts w:ascii="Arial" w:hAnsi="Arial" w:cs="Arial"/>
          <w:sz w:val="24"/>
          <w:szCs w:val="24"/>
        </w:rPr>
        <w:t>Once an APA is in place it is particularly frustrating for landlords not to be able to liaise directly with DWP to discuss cases – this creates real difficulties where, for example, an APA payment is reduced without notification or reasons given.</w:t>
      </w:r>
    </w:p>
    <w:p w:rsidR="00207569" w:rsidRDefault="00207569" w:rsidP="00DE0241">
      <w:pPr>
        <w:pStyle w:val="ListParagraph"/>
        <w:spacing w:line="264" w:lineRule="auto"/>
        <w:ind w:left="0"/>
        <w:rPr>
          <w:rFonts w:ascii="Arial" w:hAnsi="Arial" w:cs="Arial"/>
          <w:sz w:val="24"/>
          <w:szCs w:val="24"/>
        </w:rPr>
      </w:pPr>
    </w:p>
    <w:p w:rsidR="00207569" w:rsidRPr="00DE0241" w:rsidRDefault="00207569" w:rsidP="00DE0241">
      <w:pPr>
        <w:pStyle w:val="ListParagraph"/>
        <w:spacing w:line="264" w:lineRule="auto"/>
        <w:ind w:left="0"/>
        <w:rPr>
          <w:rFonts w:ascii="Arial" w:hAnsi="Arial" w:cs="Arial"/>
          <w:sz w:val="24"/>
          <w:szCs w:val="24"/>
        </w:rPr>
      </w:pPr>
      <w:r>
        <w:rPr>
          <w:rFonts w:ascii="Arial" w:hAnsi="Arial" w:cs="Arial"/>
          <w:sz w:val="24"/>
          <w:szCs w:val="24"/>
        </w:rPr>
        <w:lastRenderedPageBreak/>
        <w:t xml:space="preserve">Most of our members welcome the fact that deductions to repay arrears mean that arrears are reduced more quickly than is the case for tenants on Housing Benefit </w:t>
      </w:r>
      <w:r w:rsidR="0030525C">
        <w:rPr>
          <w:rFonts w:ascii="Arial" w:hAnsi="Arial" w:cs="Arial"/>
          <w:sz w:val="24"/>
          <w:szCs w:val="24"/>
        </w:rPr>
        <w:t>–</w:t>
      </w:r>
      <w:r>
        <w:rPr>
          <w:rFonts w:ascii="Arial" w:hAnsi="Arial" w:cs="Arial"/>
          <w:sz w:val="24"/>
          <w:szCs w:val="24"/>
        </w:rPr>
        <w:t xml:space="preserve"> £55 per month as against £14 in HB cases, although associations recognise that such deduct</w:t>
      </w:r>
      <w:r w:rsidR="009A0F92">
        <w:rPr>
          <w:rFonts w:ascii="Arial" w:hAnsi="Arial" w:cs="Arial"/>
          <w:sz w:val="24"/>
          <w:szCs w:val="24"/>
        </w:rPr>
        <w:t>ions are likely to cause ongoing hardship for tenants.</w:t>
      </w:r>
    </w:p>
    <w:p w:rsidR="00D33623" w:rsidRDefault="00D33623" w:rsidP="00385A29">
      <w:pPr>
        <w:pStyle w:val="ListParagraph"/>
        <w:spacing w:line="264" w:lineRule="auto"/>
        <w:ind w:left="0"/>
        <w:jc w:val="both"/>
        <w:rPr>
          <w:sz w:val="23"/>
          <w:szCs w:val="23"/>
        </w:rPr>
      </w:pPr>
    </w:p>
    <w:p w:rsidR="00385A29" w:rsidRDefault="00385A29" w:rsidP="00385A29">
      <w:pPr>
        <w:pStyle w:val="Heading1"/>
        <w:numPr>
          <w:ilvl w:val="0"/>
          <w:numId w:val="1"/>
        </w:numPr>
        <w:spacing w:before="0" w:line="264" w:lineRule="auto"/>
        <w:ind w:left="0"/>
        <w:contextualSpacing/>
        <w:rPr>
          <w:rFonts w:asciiTheme="minorHAnsi" w:eastAsia="Times New Roman" w:hAnsiTheme="minorHAnsi"/>
          <w:lang w:eastAsia="en-GB"/>
        </w:rPr>
      </w:pPr>
      <w:r>
        <w:rPr>
          <w:rFonts w:asciiTheme="minorHAnsi" w:eastAsia="Times New Roman" w:hAnsiTheme="minorHAnsi"/>
          <w:lang w:eastAsia="en-GB"/>
        </w:rPr>
        <w:t>Would certain groups benefit from greater payment process flexibility and, if so, what might the Government do to facilitate it?</w:t>
      </w:r>
    </w:p>
    <w:p w:rsidR="00385A29" w:rsidRPr="00043090" w:rsidRDefault="00955CBA" w:rsidP="009A0F92">
      <w:pPr>
        <w:pStyle w:val="ListParagraph"/>
        <w:spacing w:line="264" w:lineRule="auto"/>
        <w:ind w:left="0"/>
        <w:rPr>
          <w:rFonts w:ascii="Arial" w:hAnsi="Arial" w:cs="Arial"/>
          <w:sz w:val="24"/>
          <w:szCs w:val="24"/>
        </w:rPr>
      </w:pPr>
      <w:r w:rsidRPr="00043090">
        <w:rPr>
          <w:rFonts w:ascii="Arial" w:hAnsi="Arial" w:cs="Arial"/>
          <w:sz w:val="24"/>
          <w:szCs w:val="24"/>
        </w:rPr>
        <w:t xml:space="preserve">Vulnerable people such as those with addictions or people with a learning disability would benefit from greater payment frequency. Without this some people will inevitably use housing costs money to cover bills and debts. </w:t>
      </w:r>
      <w:r w:rsidR="00043090" w:rsidRPr="00043090">
        <w:rPr>
          <w:rFonts w:ascii="Arial" w:hAnsi="Arial" w:cs="Arial"/>
          <w:sz w:val="24"/>
          <w:szCs w:val="24"/>
        </w:rPr>
        <w:t>The Committee will be aware of the Scottish Government’s powers to enable payments to be made twice-monthly for people in Full Service areas, but it is unfortunate that these powers will come too late to avoid serious difficulties already having built up for many claimants.</w:t>
      </w:r>
    </w:p>
    <w:p w:rsidR="00385A29" w:rsidRDefault="00385A29" w:rsidP="00385A29">
      <w:pPr>
        <w:spacing w:line="264" w:lineRule="auto"/>
        <w:contextualSpacing/>
        <w:rPr>
          <w:lang w:eastAsia="en-GB"/>
        </w:rPr>
      </w:pPr>
    </w:p>
    <w:p w:rsidR="00385A29" w:rsidRDefault="00385A29" w:rsidP="00385A29">
      <w:pPr>
        <w:pStyle w:val="ListParagraph"/>
        <w:numPr>
          <w:ilvl w:val="0"/>
          <w:numId w:val="1"/>
        </w:numPr>
        <w:spacing w:line="264" w:lineRule="auto"/>
        <w:ind w:left="0"/>
        <w:rPr>
          <w:rFonts w:eastAsia="Times New Roman" w:cstheme="majorBidi"/>
          <w:color w:val="365F91" w:themeColor="accent1" w:themeShade="BF"/>
          <w:sz w:val="32"/>
          <w:szCs w:val="32"/>
          <w:lang w:eastAsia="en-GB"/>
        </w:rPr>
      </w:pPr>
      <w:r>
        <w:rPr>
          <w:rFonts w:eastAsia="Times New Roman" w:cstheme="majorBidi"/>
          <w:color w:val="365F91" w:themeColor="accent1" w:themeShade="BF"/>
          <w:sz w:val="32"/>
          <w:szCs w:val="32"/>
          <w:lang w:eastAsia="en-GB"/>
        </w:rPr>
        <w:t>What impact is Universal Credit having on the income and costs of local authorities, housing associations, charities and other local organisations?</w:t>
      </w:r>
    </w:p>
    <w:p w:rsidR="00697766" w:rsidRPr="00A20B58" w:rsidRDefault="00697766" w:rsidP="00385A29">
      <w:pPr>
        <w:pStyle w:val="ListParagraph"/>
        <w:spacing w:line="264" w:lineRule="auto"/>
        <w:ind w:left="0"/>
        <w:rPr>
          <w:rFonts w:ascii="Arial" w:hAnsi="Arial" w:cs="Arial"/>
          <w:sz w:val="24"/>
          <w:szCs w:val="24"/>
        </w:rPr>
      </w:pPr>
      <w:r w:rsidRPr="00A20B58">
        <w:rPr>
          <w:rFonts w:ascii="Arial" w:hAnsi="Arial" w:cs="Arial"/>
          <w:sz w:val="24"/>
          <w:szCs w:val="24"/>
        </w:rPr>
        <w:t>Without exception landlords are facing very significant increases in arrears, hitting their primary source of income on which housing associations – and their lenders – rely. Staff time dealing with the administration of UC, along with increased legal costs, are diverting resources from elsewhere in the housing management service.</w:t>
      </w:r>
    </w:p>
    <w:p w:rsidR="00697766" w:rsidRPr="00A20B58" w:rsidRDefault="00697766" w:rsidP="00385A29">
      <w:pPr>
        <w:pStyle w:val="ListParagraph"/>
        <w:spacing w:line="264" w:lineRule="auto"/>
        <w:ind w:left="0"/>
        <w:rPr>
          <w:rFonts w:ascii="Arial" w:hAnsi="Arial" w:cs="Arial"/>
          <w:sz w:val="24"/>
          <w:szCs w:val="24"/>
        </w:rPr>
      </w:pPr>
    </w:p>
    <w:p w:rsidR="00697766" w:rsidRPr="00A20B58" w:rsidRDefault="00697766" w:rsidP="00385A29">
      <w:pPr>
        <w:pStyle w:val="ListParagraph"/>
        <w:spacing w:line="264" w:lineRule="auto"/>
        <w:ind w:left="0"/>
        <w:rPr>
          <w:rFonts w:ascii="Arial" w:hAnsi="Arial" w:cs="Arial"/>
          <w:sz w:val="24"/>
          <w:szCs w:val="24"/>
        </w:rPr>
      </w:pPr>
      <w:r w:rsidRPr="00A20B58">
        <w:rPr>
          <w:rFonts w:ascii="Arial" w:hAnsi="Arial" w:cs="Arial"/>
          <w:sz w:val="24"/>
          <w:szCs w:val="24"/>
        </w:rPr>
        <w:t xml:space="preserve">In some cases associations will – however reluctantly – see increases in evictions, leading to increased void costs on top of the human costs for the households involved. </w:t>
      </w:r>
    </w:p>
    <w:p w:rsidR="00697766" w:rsidRPr="00A20B58" w:rsidRDefault="00697766" w:rsidP="00385A29">
      <w:pPr>
        <w:pStyle w:val="ListParagraph"/>
        <w:spacing w:line="264" w:lineRule="auto"/>
        <w:ind w:left="0"/>
        <w:rPr>
          <w:rFonts w:ascii="Arial" w:hAnsi="Arial" w:cs="Arial"/>
          <w:sz w:val="24"/>
          <w:szCs w:val="24"/>
        </w:rPr>
      </w:pPr>
    </w:p>
    <w:p w:rsidR="00385A29" w:rsidRDefault="00697766" w:rsidP="00385A29">
      <w:pPr>
        <w:pStyle w:val="ListParagraph"/>
        <w:spacing w:line="264" w:lineRule="auto"/>
        <w:ind w:left="0"/>
      </w:pPr>
      <w:r w:rsidRPr="00A20B58">
        <w:rPr>
          <w:rFonts w:ascii="Arial" w:hAnsi="Arial" w:cs="Arial"/>
          <w:sz w:val="24"/>
          <w:szCs w:val="24"/>
        </w:rPr>
        <w:t xml:space="preserve">Some members have cited indications that tenants </w:t>
      </w:r>
      <w:r w:rsidR="00A20B58" w:rsidRPr="00A20B58">
        <w:rPr>
          <w:rFonts w:ascii="Arial" w:hAnsi="Arial" w:cs="Arial"/>
          <w:sz w:val="24"/>
          <w:szCs w:val="24"/>
        </w:rPr>
        <w:t xml:space="preserve">currently on Housing Benefit and who are </w:t>
      </w:r>
      <w:r w:rsidRPr="00A20B58">
        <w:rPr>
          <w:rFonts w:ascii="Arial" w:hAnsi="Arial" w:cs="Arial"/>
          <w:sz w:val="24"/>
          <w:szCs w:val="24"/>
        </w:rPr>
        <w:t>due to transfer from one property to another are reluctant to do so because they know it will mean having to make a UC claim. This is a bad outcome for tenant and landlord alike.</w:t>
      </w:r>
    </w:p>
    <w:p w:rsidR="00385A29" w:rsidRDefault="00385A29" w:rsidP="00385A29">
      <w:pPr>
        <w:pStyle w:val="ListParagraph"/>
        <w:spacing w:line="264" w:lineRule="auto"/>
        <w:ind w:left="0"/>
      </w:pPr>
    </w:p>
    <w:p w:rsidR="00385A29" w:rsidRDefault="00385A29" w:rsidP="00385A29">
      <w:pPr>
        <w:pStyle w:val="Heading1"/>
        <w:numPr>
          <w:ilvl w:val="0"/>
          <w:numId w:val="1"/>
        </w:numPr>
        <w:spacing w:before="0" w:line="264" w:lineRule="auto"/>
        <w:ind w:left="0"/>
        <w:contextualSpacing/>
        <w:rPr>
          <w:rFonts w:asciiTheme="minorHAnsi" w:eastAsia="Times New Roman" w:hAnsiTheme="minorHAnsi"/>
          <w:lang w:eastAsia="en-GB"/>
        </w:rPr>
      </w:pPr>
      <w:r>
        <w:rPr>
          <w:rFonts w:asciiTheme="minorHAnsi" w:eastAsia="Times New Roman" w:hAnsiTheme="minorHAnsi"/>
          <w:lang w:eastAsia="en-GB"/>
        </w:rPr>
        <w:t>How well is Universal Support working, and how could it been improved?</w:t>
      </w:r>
    </w:p>
    <w:p w:rsidR="00385A29" w:rsidRDefault="00A20B58" w:rsidP="00385A29">
      <w:pPr>
        <w:pStyle w:val="ListParagraph"/>
        <w:spacing w:line="264" w:lineRule="auto"/>
        <w:ind w:left="0"/>
        <w:rPr>
          <w:rFonts w:ascii="Arial" w:hAnsi="Arial" w:cs="Arial"/>
          <w:sz w:val="24"/>
          <w:szCs w:val="24"/>
        </w:rPr>
      </w:pPr>
      <w:r>
        <w:rPr>
          <w:rFonts w:ascii="Arial" w:hAnsi="Arial" w:cs="Arial"/>
          <w:sz w:val="24"/>
          <w:szCs w:val="24"/>
        </w:rPr>
        <w:t xml:space="preserve">Our members report little or no experience of working with this framework. </w:t>
      </w:r>
    </w:p>
    <w:p w:rsidR="00A20B58" w:rsidRDefault="00A20B58" w:rsidP="00385A29">
      <w:pPr>
        <w:pStyle w:val="ListParagraph"/>
        <w:spacing w:line="264" w:lineRule="auto"/>
        <w:ind w:left="0"/>
      </w:pPr>
    </w:p>
    <w:p w:rsidR="00385A29" w:rsidRDefault="00385A29" w:rsidP="00385A29">
      <w:pPr>
        <w:pStyle w:val="ListParagraph"/>
        <w:numPr>
          <w:ilvl w:val="0"/>
          <w:numId w:val="1"/>
        </w:numPr>
        <w:spacing w:line="264" w:lineRule="auto"/>
        <w:ind w:left="0"/>
        <w:rPr>
          <w:rFonts w:eastAsia="Times New Roman" w:cstheme="majorBidi"/>
          <w:color w:val="365F91" w:themeColor="accent1" w:themeShade="BF"/>
          <w:sz w:val="32"/>
          <w:szCs w:val="32"/>
          <w:lang w:eastAsia="en-GB"/>
        </w:rPr>
      </w:pPr>
      <w:r>
        <w:rPr>
          <w:rFonts w:eastAsia="Times New Roman" w:cstheme="majorBidi"/>
          <w:color w:val="365F91" w:themeColor="accent1" w:themeShade="BF"/>
          <w:sz w:val="32"/>
          <w:szCs w:val="32"/>
          <w:lang w:eastAsia="en-GB"/>
        </w:rPr>
        <w:t>What impact has the introduction of full Universal Credit service had in areas where it has replaced the live service?</w:t>
      </w:r>
    </w:p>
    <w:p w:rsidR="00A20B58" w:rsidRPr="00A20B58" w:rsidRDefault="00A20B58" w:rsidP="00385A29">
      <w:pPr>
        <w:pStyle w:val="ListParagraph"/>
        <w:spacing w:line="264" w:lineRule="auto"/>
        <w:ind w:left="0"/>
        <w:rPr>
          <w:rFonts w:ascii="Arial" w:hAnsi="Arial" w:cs="Arial"/>
          <w:sz w:val="24"/>
          <w:szCs w:val="24"/>
        </w:rPr>
      </w:pPr>
      <w:r w:rsidRPr="00A20B58">
        <w:rPr>
          <w:rFonts w:ascii="Arial" w:hAnsi="Arial" w:cs="Arial"/>
          <w:sz w:val="24"/>
          <w:szCs w:val="24"/>
        </w:rPr>
        <w:t>We have just one member association currently in a Full Service area and so we quote from them:</w:t>
      </w:r>
    </w:p>
    <w:p w:rsidR="00A20B58" w:rsidRPr="00A20B58" w:rsidRDefault="00A20B58" w:rsidP="00385A29">
      <w:pPr>
        <w:pStyle w:val="ListParagraph"/>
        <w:spacing w:line="264" w:lineRule="auto"/>
        <w:ind w:left="0"/>
        <w:rPr>
          <w:rFonts w:ascii="Arial" w:hAnsi="Arial" w:cs="Arial"/>
          <w:sz w:val="24"/>
          <w:szCs w:val="24"/>
        </w:rPr>
      </w:pPr>
    </w:p>
    <w:p w:rsidR="00385A29" w:rsidRPr="00A20B58" w:rsidRDefault="00A20B58" w:rsidP="0030525C">
      <w:pPr>
        <w:pStyle w:val="ListParagraph"/>
        <w:spacing w:line="264" w:lineRule="auto"/>
        <w:ind w:left="0"/>
        <w:rPr>
          <w:rFonts w:ascii="Arial" w:hAnsi="Arial" w:cs="Arial"/>
          <w:sz w:val="24"/>
          <w:szCs w:val="24"/>
        </w:rPr>
      </w:pPr>
      <w:r w:rsidRPr="0030525C">
        <w:rPr>
          <w:rFonts w:ascii="Arial" w:hAnsi="Arial" w:cs="Arial"/>
          <w:i/>
          <w:sz w:val="24"/>
          <w:szCs w:val="24"/>
        </w:rPr>
        <w:t>“The roll</w:t>
      </w:r>
      <w:r w:rsidR="00385A29" w:rsidRPr="0030525C">
        <w:rPr>
          <w:rFonts w:ascii="Arial" w:hAnsi="Arial" w:cs="Arial"/>
          <w:i/>
          <w:sz w:val="24"/>
          <w:szCs w:val="24"/>
        </w:rPr>
        <w:t xml:space="preserve">out was inadequately resourced, the IT system was only 62% ready and communication channels between </w:t>
      </w:r>
      <w:r w:rsidR="009A0F92" w:rsidRPr="0030525C">
        <w:rPr>
          <w:rFonts w:ascii="Arial" w:hAnsi="Arial" w:cs="Arial"/>
          <w:i/>
          <w:sz w:val="24"/>
          <w:szCs w:val="24"/>
        </w:rPr>
        <w:t>l</w:t>
      </w:r>
      <w:r w:rsidR="00385A29" w:rsidRPr="0030525C">
        <w:rPr>
          <w:rFonts w:ascii="Arial" w:hAnsi="Arial" w:cs="Arial"/>
          <w:i/>
          <w:sz w:val="24"/>
          <w:szCs w:val="24"/>
        </w:rPr>
        <w:t xml:space="preserve">andlords and DWP were shut down. It has been </w:t>
      </w:r>
      <w:r w:rsidR="00385A29" w:rsidRPr="0030525C">
        <w:rPr>
          <w:rFonts w:ascii="Arial" w:hAnsi="Arial" w:cs="Arial"/>
          <w:i/>
          <w:sz w:val="24"/>
          <w:szCs w:val="24"/>
        </w:rPr>
        <w:lastRenderedPageBreak/>
        <w:t>chaotic for both practitioners and claimants with little improvement over the year.  For larger organisations, the impact must have been unmanageable.</w:t>
      </w:r>
      <w:r w:rsidRPr="0030525C">
        <w:rPr>
          <w:rFonts w:ascii="Arial" w:hAnsi="Arial" w:cs="Arial"/>
          <w:i/>
          <w:sz w:val="24"/>
          <w:szCs w:val="24"/>
        </w:rPr>
        <w:t>”</w:t>
      </w:r>
    </w:p>
    <w:sectPr w:rsidR="00385A29" w:rsidRPr="00A20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36ECD"/>
    <w:multiLevelType w:val="hybridMultilevel"/>
    <w:tmpl w:val="C8DC4F82"/>
    <w:lvl w:ilvl="0" w:tplc="8D5A5C04">
      <w:start w:val="1"/>
      <w:numFmt w:val="decimal"/>
      <w:lvlText w:val="%1."/>
      <w:lvlJc w:val="left"/>
      <w:pPr>
        <w:ind w:left="720" w:hanging="360"/>
      </w:pPr>
      <w:rPr>
        <w:sz w:val="32"/>
        <w:szCs w:val="3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29"/>
    <w:rsid w:val="00043090"/>
    <w:rsid w:val="00046B0A"/>
    <w:rsid w:val="000B4140"/>
    <w:rsid w:val="00126044"/>
    <w:rsid w:val="00207569"/>
    <w:rsid w:val="0030525C"/>
    <w:rsid w:val="00385A29"/>
    <w:rsid w:val="005F2C50"/>
    <w:rsid w:val="00657538"/>
    <w:rsid w:val="00697766"/>
    <w:rsid w:val="006C41F0"/>
    <w:rsid w:val="006F0097"/>
    <w:rsid w:val="00785205"/>
    <w:rsid w:val="007A6B45"/>
    <w:rsid w:val="007B2FE3"/>
    <w:rsid w:val="008A4C62"/>
    <w:rsid w:val="008D0502"/>
    <w:rsid w:val="00955CBA"/>
    <w:rsid w:val="009A0F92"/>
    <w:rsid w:val="00A20B58"/>
    <w:rsid w:val="00A66C3C"/>
    <w:rsid w:val="00A94E12"/>
    <w:rsid w:val="00AB69DA"/>
    <w:rsid w:val="00C002F8"/>
    <w:rsid w:val="00D33623"/>
    <w:rsid w:val="00DE0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29"/>
    <w:pPr>
      <w:spacing w:after="0" w:line="256" w:lineRule="auto"/>
    </w:pPr>
  </w:style>
  <w:style w:type="paragraph" w:styleId="Heading1">
    <w:name w:val="heading 1"/>
    <w:basedOn w:val="Normal"/>
    <w:next w:val="Normal"/>
    <w:link w:val="Heading1Char"/>
    <w:uiPriority w:val="9"/>
    <w:qFormat/>
    <w:rsid w:val="00385A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85A2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A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85A2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85A29"/>
    <w:pPr>
      <w:ind w:left="720"/>
      <w:contextualSpacing/>
    </w:pPr>
  </w:style>
  <w:style w:type="table" w:styleId="TableGrid">
    <w:name w:val="Table Grid"/>
    <w:basedOn w:val="TableNormal"/>
    <w:uiPriority w:val="59"/>
    <w:rsid w:val="00A6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29"/>
    <w:pPr>
      <w:spacing w:after="0" w:line="256" w:lineRule="auto"/>
    </w:pPr>
  </w:style>
  <w:style w:type="paragraph" w:styleId="Heading1">
    <w:name w:val="heading 1"/>
    <w:basedOn w:val="Normal"/>
    <w:next w:val="Normal"/>
    <w:link w:val="Heading1Char"/>
    <w:uiPriority w:val="9"/>
    <w:qFormat/>
    <w:rsid w:val="00385A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85A2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A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85A2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85A29"/>
    <w:pPr>
      <w:ind w:left="720"/>
      <w:contextualSpacing/>
    </w:pPr>
  </w:style>
  <w:style w:type="table" w:styleId="TableGrid">
    <w:name w:val="Table Grid"/>
    <w:basedOn w:val="TableNormal"/>
    <w:uiPriority w:val="59"/>
    <w:rsid w:val="00A66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65F9E-06F1-49C4-8B33-01B6BDE6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11</cp:revision>
  <cp:lastPrinted>2017-03-20T15:59:00Z</cp:lastPrinted>
  <dcterms:created xsi:type="dcterms:W3CDTF">2017-03-20T14:25:00Z</dcterms:created>
  <dcterms:modified xsi:type="dcterms:W3CDTF">2017-03-21T10:07:00Z</dcterms:modified>
</cp:coreProperties>
</file>